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rPr>
          <w:rFonts w:hint="eastAsia" w:ascii="黑体" w:hAnsi="黑体" w:eastAsia="黑体"/>
          <w:sz w:val="28"/>
          <w:szCs w:val="28"/>
        </w:rPr>
      </w:pPr>
    </w:p>
    <w:p>
      <w:pPr>
        <w:keepNext w:val="0"/>
        <w:keepLines w:val="0"/>
        <w:pageBreakBefore w:val="0"/>
        <w:widowControl w:val="0"/>
        <w:kinsoku/>
        <w:wordWrap/>
        <w:overflowPunct/>
        <w:topLinePunct w:val="0"/>
        <w:autoSpaceDE/>
        <w:autoSpaceDN/>
        <w:bidi w:val="0"/>
        <w:adjustRightInd w:val="0"/>
        <w:snapToGrid w:val="0"/>
        <w:spacing w:after="0" w:line="7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w:t>
      </w:r>
      <w:r>
        <w:rPr>
          <w:rFonts w:hint="eastAsia" w:ascii="方正小标宋简体" w:hAnsi="方正小标宋简体" w:eastAsia="方正小标宋简体" w:cs="方正小标宋简体"/>
          <w:b w:val="0"/>
          <w:bCs/>
          <w:sz w:val="44"/>
          <w:szCs w:val="44"/>
          <w:lang w:eastAsia="zh-CN"/>
        </w:rPr>
        <w:t>方县住房保障服务中心2022</w:t>
      </w:r>
      <w:r>
        <w:rPr>
          <w:rFonts w:hint="eastAsia" w:ascii="方正小标宋简体" w:hAnsi="方正小标宋简体" w:eastAsia="方正小标宋简体" w:cs="方正小标宋简体"/>
          <w:b w:val="0"/>
          <w:bCs/>
          <w:sz w:val="44"/>
          <w:szCs w:val="44"/>
        </w:rPr>
        <w:t>年度</w:t>
      </w:r>
      <w:r>
        <w:rPr>
          <w:rFonts w:hint="eastAsia" w:ascii="方正小标宋简体" w:hAnsi="方正小标宋简体" w:eastAsia="方正小标宋简体" w:cs="方正小标宋简体"/>
          <w:b w:val="0"/>
          <w:bCs/>
          <w:sz w:val="44"/>
          <w:szCs w:val="44"/>
          <w:lang w:eastAsia="zh-CN"/>
        </w:rPr>
        <w:t>白蚁防治</w:t>
      </w:r>
      <w:r>
        <w:rPr>
          <w:rFonts w:hint="eastAsia" w:ascii="方正小标宋简体" w:hAnsi="方正小标宋简体" w:eastAsia="方正小标宋简体" w:cs="方正小标宋简体"/>
          <w:b w:val="0"/>
          <w:bCs/>
          <w:sz w:val="44"/>
          <w:szCs w:val="44"/>
        </w:rPr>
        <w:t>项目支出绩效自评报告</w:t>
      </w: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一、基本情况</w:t>
      </w:r>
    </w:p>
    <w:p>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（一）项目概况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根据《关于清理规范一批行政事业性收费有关政策的通知》要求，我服务中心自2017年以来，免除了白蚁防治收费。 202</w:t>
      </w:r>
      <w:r>
        <w:rPr>
          <w:rFonts w:hint="eastAsia" w:ascii="仿宋" w:hAnsi="仿宋" w:eastAsia="仿宋" w:cs="仿宋"/>
          <w:sz w:val="32"/>
          <w:szCs w:val="32"/>
          <w:lang w:val="en-US" w:eastAsia="zh-CN"/>
        </w:rPr>
        <w:t>2</w:t>
      </w:r>
      <w:r>
        <w:rPr>
          <w:rFonts w:hint="eastAsia" w:ascii="仿宋" w:hAnsi="仿宋" w:eastAsia="仿宋" w:cs="仿宋"/>
          <w:sz w:val="32"/>
          <w:szCs w:val="32"/>
        </w:rPr>
        <w:t>年1月至12月，我局依法履行职责，在全县范围内积极开展白蚁防治工作。</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一</w:t>
      </w:r>
      <w:r>
        <w:rPr>
          <w:rFonts w:hint="eastAsia" w:ascii="仿宋" w:hAnsi="仿宋" w:eastAsia="仿宋" w:cs="仿宋"/>
          <w:sz w:val="32"/>
          <w:szCs w:val="32"/>
          <w:lang w:eastAsia="zh-CN"/>
        </w:rPr>
        <w:t>：</w:t>
      </w:r>
      <w:r>
        <w:rPr>
          <w:rFonts w:hint="eastAsia" w:ascii="仿宋" w:hAnsi="仿宋" w:eastAsia="仿宋" w:cs="仿宋"/>
          <w:sz w:val="32"/>
          <w:szCs w:val="32"/>
        </w:rPr>
        <w:t>在</w:t>
      </w:r>
      <w:r>
        <w:rPr>
          <w:rFonts w:hint="eastAsia" w:ascii="仿宋" w:hAnsi="仿宋" w:eastAsia="仿宋" w:cs="仿宋"/>
          <w:sz w:val="32"/>
          <w:szCs w:val="32"/>
          <w:lang w:eastAsia="zh-CN"/>
        </w:rPr>
        <w:t>中方镇、</w:t>
      </w:r>
      <w:r>
        <w:rPr>
          <w:rFonts w:hint="eastAsia" w:ascii="仿宋" w:hAnsi="仿宋" w:eastAsia="仿宋" w:cs="仿宋"/>
          <w:sz w:val="32"/>
          <w:szCs w:val="32"/>
        </w:rPr>
        <w:t>桐木</w:t>
      </w:r>
      <w:r>
        <w:rPr>
          <w:rFonts w:hint="eastAsia" w:ascii="仿宋" w:hAnsi="仿宋" w:eastAsia="仿宋" w:cs="仿宋"/>
          <w:sz w:val="32"/>
          <w:szCs w:val="32"/>
          <w:lang w:eastAsia="zh-CN"/>
        </w:rPr>
        <w:t>镇</w:t>
      </w:r>
      <w:r>
        <w:rPr>
          <w:rFonts w:hint="eastAsia" w:ascii="仿宋" w:hAnsi="仿宋" w:eastAsia="仿宋" w:cs="仿宋"/>
          <w:sz w:val="32"/>
          <w:szCs w:val="32"/>
        </w:rPr>
        <w:t>、</w:t>
      </w:r>
      <w:r>
        <w:rPr>
          <w:rFonts w:hint="eastAsia" w:ascii="仿宋" w:hAnsi="仿宋" w:eastAsia="仿宋" w:cs="仿宋"/>
          <w:sz w:val="32"/>
          <w:szCs w:val="32"/>
          <w:lang w:eastAsia="zh-CN"/>
        </w:rPr>
        <w:t>袁家镇、</w:t>
      </w:r>
      <w:r>
        <w:rPr>
          <w:rFonts w:hint="eastAsia" w:ascii="仿宋" w:hAnsi="仿宋" w:eastAsia="仿宋" w:cs="仿宋"/>
          <w:sz w:val="32"/>
          <w:szCs w:val="32"/>
        </w:rPr>
        <w:t>泸阳、铜湾等乡镇进行免费白蚁灭治</w:t>
      </w:r>
      <w:r>
        <w:rPr>
          <w:rFonts w:hint="eastAsia" w:ascii="仿宋" w:hAnsi="仿宋" w:eastAsia="仿宋" w:cs="仿宋"/>
          <w:sz w:val="32"/>
          <w:szCs w:val="32"/>
          <w:lang w:val="en-US" w:eastAsia="zh-CN"/>
        </w:rPr>
        <w:t>35宗</w:t>
      </w:r>
      <w:r>
        <w:rPr>
          <w:rFonts w:hint="eastAsia" w:ascii="仿宋" w:hAnsi="仿宋" w:eastAsia="仿宋" w:cs="仿宋"/>
          <w:sz w:val="32"/>
          <w:szCs w:val="32"/>
        </w:rPr>
        <w:t>，灭治面积</w:t>
      </w:r>
      <w:r>
        <w:rPr>
          <w:rFonts w:hint="eastAsia" w:ascii="仿宋" w:hAnsi="仿宋" w:eastAsia="仿宋" w:cs="仿宋"/>
          <w:sz w:val="32"/>
          <w:szCs w:val="32"/>
          <w:lang w:val="en-US" w:eastAsia="zh-CN"/>
        </w:rPr>
        <w:t>2.1</w:t>
      </w:r>
      <w:r>
        <w:rPr>
          <w:rFonts w:hint="eastAsia" w:ascii="仿宋" w:hAnsi="仿宋" w:eastAsia="仿宋" w:cs="仿宋"/>
          <w:sz w:val="32"/>
          <w:szCs w:val="32"/>
          <w:lang w:eastAsia="zh-CN"/>
        </w:rPr>
        <w:t>万</w:t>
      </w:r>
      <w:r>
        <w:rPr>
          <w:rFonts w:hint="eastAsia" w:ascii="仿宋" w:hAnsi="仿宋" w:eastAsia="仿宋" w:cs="仿宋"/>
          <w:sz w:val="32"/>
          <w:szCs w:val="32"/>
        </w:rPr>
        <w:t>㎡</w:t>
      </w:r>
      <w:r>
        <w:rPr>
          <w:rFonts w:hint="eastAsia" w:ascii="仿宋" w:hAnsi="仿宋" w:eastAsia="仿宋" w:cs="仿宋"/>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sz w:val="32"/>
          <w:szCs w:val="32"/>
          <w:lang w:eastAsia="zh-CN"/>
        </w:rPr>
        <w:t>：</w:t>
      </w:r>
      <w:r>
        <w:rPr>
          <w:rFonts w:hint="eastAsia" w:ascii="仿宋" w:hAnsi="仿宋" w:eastAsia="仿宋" w:cs="仿宋"/>
          <w:sz w:val="32"/>
          <w:szCs w:val="32"/>
        </w:rPr>
        <w:t>对</w:t>
      </w:r>
      <w:r>
        <w:rPr>
          <w:rFonts w:hint="eastAsia" w:ascii="仿宋" w:hAnsi="仿宋" w:eastAsia="仿宋" w:cs="仿宋"/>
          <w:sz w:val="32"/>
          <w:szCs w:val="32"/>
          <w:lang w:eastAsia="zh-CN"/>
        </w:rPr>
        <w:t>县城新</w:t>
      </w:r>
      <w:r>
        <w:rPr>
          <w:rFonts w:hint="eastAsia" w:ascii="仿宋" w:hAnsi="仿宋" w:eastAsia="仿宋" w:cs="仿宋"/>
          <w:sz w:val="32"/>
          <w:szCs w:val="32"/>
        </w:rPr>
        <w:t>建住房进行白蚁防治，先后对中方县城</w:t>
      </w:r>
      <w:r>
        <w:rPr>
          <w:rFonts w:hint="eastAsia" w:ascii="仿宋" w:hAnsi="仿宋" w:eastAsia="仿宋" w:cs="仿宋"/>
          <w:sz w:val="32"/>
          <w:szCs w:val="32"/>
          <w:lang w:eastAsia="zh-CN"/>
        </w:rPr>
        <w:t>南湖花园三期、中福新城、云谷天境、中方华府、滨江锦粼府</w:t>
      </w:r>
      <w:r>
        <w:rPr>
          <w:rFonts w:hint="eastAsia" w:ascii="仿宋" w:hAnsi="仿宋" w:eastAsia="仿宋" w:cs="仿宋"/>
          <w:sz w:val="32"/>
          <w:szCs w:val="32"/>
        </w:rPr>
        <w:t>等进行白蚁预防，</w:t>
      </w:r>
      <w:r>
        <w:rPr>
          <w:rFonts w:hint="eastAsia" w:ascii="仿宋" w:hAnsi="仿宋" w:eastAsia="仿宋" w:cs="仿宋"/>
          <w:sz w:val="32"/>
          <w:szCs w:val="32"/>
          <w:lang w:val="en-US" w:eastAsia="zh-CN"/>
        </w:rPr>
        <w:t>白蚁预防18宗，预防面积9.13万平方米；</w:t>
      </w:r>
      <w:r>
        <w:rPr>
          <w:rFonts w:hint="eastAsia" w:ascii="仿宋" w:hAnsi="仿宋" w:eastAsia="仿宋" w:cs="仿宋"/>
          <w:sz w:val="32"/>
          <w:szCs w:val="32"/>
          <w:lang w:eastAsia="zh-CN"/>
        </w:rPr>
        <w:t>对县直机关单位及园林绿化进行白蚁防治灭治。</w:t>
      </w: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年灭治和预防面积共</w:t>
      </w:r>
      <w:r>
        <w:rPr>
          <w:rFonts w:hint="eastAsia" w:ascii="仿宋" w:hAnsi="仿宋" w:eastAsia="仿宋" w:cs="仿宋"/>
          <w:sz w:val="32"/>
          <w:szCs w:val="32"/>
          <w:lang w:val="en-US" w:eastAsia="zh-CN"/>
        </w:rPr>
        <w:t>11.23万</w:t>
      </w:r>
      <w:r>
        <w:rPr>
          <w:rFonts w:hint="eastAsia" w:ascii="仿宋" w:hAnsi="仿宋" w:eastAsia="仿宋" w:cs="仿宋"/>
          <w:sz w:val="32"/>
          <w:szCs w:val="32"/>
        </w:rPr>
        <w:t>㎡，合计支出</w:t>
      </w:r>
      <w:r>
        <w:rPr>
          <w:rFonts w:hint="eastAsia" w:ascii="仿宋" w:hAnsi="仿宋" w:eastAsia="仿宋" w:cs="仿宋"/>
          <w:sz w:val="32"/>
          <w:szCs w:val="32"/>
          <w:lang w:val="en-US" w:eastAsia="zh-CN"/>
        </w:rPr>
        <w:t>11.21万</w:t>
      </w:r>
      <w:r>
        <w:rPr>
          <w:rFonts w:hint="eastAsia" w:ascii="仿宋" w:hAnsi="仿宋" w:eastAsia="仿宋" w:cs="仿宋"/>
          <w:sz w:val="32"/>
          <w:szCs w:val="32"/>
        </w:rPr>
        <w:t>元。</w:t>
      </w:r>
    </w:p>
    <w:p>
      <w:pPr>
        <w:spacing w:after="0" w:line="600" w:lineRule="exact"/>
        <w:ind w:firstLine="640" w:firstLineChars="200"/>
        <w:outlineLvl w:val="0"/>
        <w:rPr>
          <w:rFonts w:hint="eastAsia" w:ascii="仿宋" w:hAnsi="仿宋" w:eastAsia="仿宋" w:cs="仿宋"/>
          <w:sz w:val="32"/>
          <w:szCs w:val="32"/>
        </w:rPr>
      </w:pPr>
    </w:p>
    <w:p>
      <w:pPr>
        <w:numPr>
          <w:ilvl w:val="0"/>
          <w:numId w:val="1"/>
        </w:numPr>
        <w:spacing w:after="0" w:line="600" w:lineRule="exact"/>
        <w:ind w:left="-200" w:leftChars="0" w:firstLine="640" w:firstLineChars="0"/>
        <w:rPr>
          <w:rFonts w:hint="eastAsia" w:ascii="仿宋" w:hAnsi="仿宋" w:eastAsia="仿宋" w:cs="仿宋"/>
          <w:b/>
          <w:bCs/>
          <w:sz w:val="32"/>
          <w:szCs w:val="32"/>
        </w:rPr>
      </w:pPr>
      <w:r>
        <w:rPr>
          <w:rFonts w:hint="eastAsia" w:ascii="仿宋" w:hAnsi="仿宋" w:eastAsia="仿宋" w:cs="仿宋"/>
          <w:b/>
          <w:bCs/>
          <w:sz w:val="32"/>
          <w:szCs w:val="32"/>
        </w:rPr>
        <w:t>项目绩效目标</w:t>
      </w:r>
    </w:p>
    <w:p>
      <w:pPr>
        <w:ind w:firstLine="643" w:firstLineChars="200"/>
        <w:rPr>
          <w:rFonts w:hint="eastAsia" w:ascii="仿宋" w:hAnsi="仿宋" w:eastAsia="仿宋" w:cs="仿宋"/>
          <w:b/>
          <w:sz w:val="32"/>
          <w:szCs w:val="32"/>
        </w:rPr>
      </w:pPr>
      <w:r>
        <w:rPr>
          <w:rFonts w:hint="eastAsia" w:ascii="仿宋" w:hAnsi="仿宋" w:eastAsia="仿宋" w:cs="仿宋"/>
          <w:b/>
          <w:sz w:val="32"/>
          <w:szCs w:val="32"/>
        </w:rPr>
        <w:t>1、总体目标</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1）转变防治方式，促进转型升级。白蚁得到有效控制，化学药物使用大幅下降，实现白蚁防治与生态文明和谐发展。严格按照国家和地方有关城市房屋白蚁防治的施工技术规范和操作程序进行防治，白蚁预防包治期限不得低于15年；</w:t>
      </w:r>
      <w:r>
        <w:rPr>
          <w:rFonts w:hint="eastAsia" w:ascii="仿宋" w:hAnsi="仿宋" w:eastAsia="仿宋" w:cs="仿宋"/>
          <w:sz w:val="32"/>
          <w:szCs w:val="32"/>
          <w:lang w:eastAsia="zh-CN"/>
        </w:rPr>
        <w:t>（</w:t>
      </w:r>
      <w:r>
        <w:rPr>
          <w:rFonts w:hint="eastAsia" w:ascii="仿宋" w:hAnsi="仿宋" w:eastAsia="仿宋" w:cs="仿宋"/>
          <w:sz w:val="32"/>
          <w:szCs w:val="32"/>
        </w:rPr>
        <w:t>2）扩大覆盖范围，保障经济建设。积极拓展业务，覆盖到文物，电站，园林，农果；</w:t>
      </w:r>
      <w:r>
        <w:rPr>
          <w:rFonts w:hint="eastAsia" w:ascii="仿宋" w:hAnsi="仿宋" w:eastAsia="仿宋" w:cs="仿宋"/>
          <w:sz w:val="32"/>
          <w:szCs w:val="32"/>
          <w:lang w:val="en-US" w:eastAsia="zh-CN"/>
        </w:rPr>
        <w:t>（</w:t>
      </w:r>
      <w:r>
        <w:rPr>
          <w:rFonts w:hint="eastAsia" w:ascii="仿宋" w:hAnsi="仿宋" w:eastAsia="仿宋" w:cs="仿宋"/>
          <w:sz w:val="32"/>
          <w:szCs w:val="32"/>
        </w:rPr>
        <w:t>3）规范管理，实现持续发展。建立药剂进出领料制度，药剂实行专仓储存、专人管理，确保用药安全；</w:t>
      </w:r>
      <w:r>
        <w:rPr>
          <w:rFonts w:hint="eastAsia" w:ascii="仿宋" w:hAnsi="仿宋" w:eastAsia="仿宋" w:cs="仿宋"/>
          <w:sz w:val="32"/>
          <w:szCs w:val="32"/>
          <w:lang w:eastAsia="zh-CN"/>
        </w:rPr>
        <w:t>（</w:t>
      </w:r>
      <w:r>
        <w:rPr>
          <w:rFonts w:hint="eastAsia" w:ascii="仿宋" w:hAnsi="仿宋" w:eastAsia="仿宋" w:cs="仿宋"/>
          <w:sz w:val="32"/>
          <w:szCs w:val="32"/>
        </w:rPr>
        <w:t>4）完善科研机制，提升服务能力。加强技术研究和白蚁防治队伍建设，不断提高白蚁防治水平。</w:t>
      </w:r>
      <w:r>
        <w:rPr>
          <w:rFonts w:hint="eastAsia" w:ascii="仿宋" w:hAnsi="仿宋" w:eastAsia="仿宋" w:cs="仿宋"/>
          <w:sz w:val="32"/>
          <w:szCs w:val="32"/>
          <w:lang w:eastAsia="zh-CN"/>
        </w:rPr>
        <w:t>（</w:t>
      </w:r>
      <w:r>
        <w:rPr>
          <w:rFonts w:hint="eastAsia" w:ascii="仿宋" w:hAnsi="仿宋" w:eastAsia="仿宋" w:cs="仿宋"/>
          <w:sz w:val="32"/>
          <w:szCs w:val="32"/>
        </w:rPr>
        <w:t>5）履行工作职责，延长房屋使用寿命、节约维护资金、提高投资综合效益、保障经济建设成果。</w:t>
      </w:r>
    </w:p>
    <w:p>
      <w:pPr>
        <w:ind w:firstLine="643" w:firstLineChars="200"/>
        <w:rPr>
          <w:rFonts w:hint="eastAsia" w:ascii="仿宋" w:hAnsi="仿宋" w:eastAsia="仿宋" w:cs="仿宋"/>
          <w:b/>
          <w:sz w:val="32"/>
          <w:szCs w:val="32"/>
        </w:rPr>
      </w:pPr>
      <w:r>
        <w:rPr>
          <w:rFonts w:hint="eastAsia" w:ascii="仿宋" w:hAnsi="仿宋" w:eastAsia="仿宋" w:cs="仿宋"/>
          <w:b/>
          <w:sz w:val="32"/>
          <w:szCs w:val="32"/>
        </w:rPr>
        <w:t>2、阶段性目标</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1）全县范围内新建、改建、扩建、装饰装修等基础设施项目白蚁预防率100%，不留空白。</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rPr>
        <w:t>2）对全县范围内重灾区（含乡镇）实施灭治工作，灭治率100%。发现白蚁危害及时处理，白蚁危害得到有效控制，防止蔓延。</w:t>
      </w:r>
    </w:p>
    <w:p>
      <w:pPr>
        <w:ind w:firstLine="643" w:firstLineChars="200"/>
        <w:rPr>
          <w:rFonts w:hint="eastAsia" w:ascii="仿宋" w:hAnsi="仿宋" w:eastAsia="仿宋" w:cs="仿宋"/>
          <w:b/>
          <w:sz w:val="32"/>
          <w:szCs w:val="32"/>
        </w:rPr>
      </w:pPr>
      <w:r>
        <w:rPr>
          <w:rFonts w:hint="eastAsia" w:ascii="仿宋" w:hAnsi="仿宋" w:eastAsia="仿宋" w:cs="仿宋"/>
          <w:b/>
          <w:sz w:val="32"/>
          <w:szCs w:val="32"/>
        </w:rPr>
        <w:t>二、绩效评价工作开展情况</w:t>
      </w:r>
    </w:p>
    <w:p>
      <w:pPr>
        <w:numPr>
          <w:ilvl w:val="0"/>
          <w:numId w:val="2"/>
        </w:numPr>
        <w:ind w:left="210"/>
        <w:rPr>
          <w:rFonts w:hint="eastAsia" w:ascii="仿宋" w:hAnsi="仿宋" w:eastAsia="仿宋" w:cs="仿宋"/>
          <w:b/>
          <w:sz w:val="32"/>
          <w:szCs w:val="32"/>
        </w:rPr>
      </w:pPr>
      <w:r>
        <w:rPr>
          <w:rFonts w:hint="eastAsia" w:ascii="仿宋" w:hAnsi="仿宋" w:eastAsia="仿宋" w:cs="仿宋"/>
          <w:b/>
          <w:sz w:val="32"/>
          <w:szCs w:val="32"/>
        </w:rPr>
        <w:t>绩效评价目的、对象和范围</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我省是白蚁高危地区，白蚁危害十分严重。从项目立项依据、目标、组织实施、预算、执行效果等方面入手，对项目的实施情况和实施效果进行全面的分析和评价。重点分析202</w:t>
      </w:r>
      <w:r>
        <w:rPr>
          <w:rFonts w:hint="eastAsia" w:ascii="仿宋" w:hAnsi="仿宋" w:eastAsia="仿宋" w:cs="仿宋"/>
          <w:sz w:val="32"/>
          <w:szCs w:val="32"/>
          <w:lang w:val="en-US" w:eastAsia="zh-CN"/>
        </w:rPr>
        <w:t>2</w:t>
      </w:r>
      <w:r>
        <w:rPr>
          <w:rFonts w:hint="eastAsia" w:ascii="仿宋" w:hAnsi="仿宋" w:eastAsia="仿宋" w:cs="仿宋"/>
          <w:sz w:val="32"/>
          <w:szCs w:val="32"/>
        </w:rPr>
        <w:t>年白蚁防治项目的实施情况，涉及资金</w:t>
      </w:r>
      <w:r>
        <w:rPr>
          <w:rFonts w:hint="eastAsia" w:ascii="仿宋" w:hAnsi="仿宋" w:eastAsia="仿宋" w:cs="仿宋"/>
          <w:sz w:val="32"/>
          <w:szCs w:val="32"/>
          <w:lang w:val="en-US" w:eastAsia="zh-CN"/>
        </w:rPr>
        <w:t>11.21</w:t>
      </w:r>
      <w:r>
        <w:rPr>
          <w:rFonts w:hint="eastAsia" w:ascii="仿宋" w:hAnsi="仿宋" w:eastAsia="仿宋" w:cs="仿宋"/>
          <w:sz w:val="32"/>
          <w:szCs w:val="32"/>
        </w:rPr>
        <w:t>万元。通过绩效评价，对项目管理、完成情况进行全面了解，对财政资金的执行情况和实施效果进行分析评价，总结经验，发现问题，为县财政资金安排提供决策和依据。</w:t>
      </w:r>
    </w:p>
    <w:p>
      <w:pPr>
        <w:numPr>
          <w:ilvl w:val="0"/>
          <w:numId w:val="2"/>
        </w:numPr>
        <w:spacing w:after="0" w:line="600" w:lineRule="exact"/>
        <w:ind w:left="210" w:leftChars="0" w:firstLine="0" w:firstLineChars="0"/>
        <w:rPr>
          <w:rFonts w:hint="eastAsia" w:ascii="仿宋" w:hAnsi="仿宋" w:eastAsia="仿宋" w:cs="仿宋"/>
          <w:b/>
          <w:bCs/>
          <w:sz w:val="32"/>
          <w:szCs w:val="32"/>
        </w:rPr>
      </w:pPr>
      <w:r>
        <w:rPr>
          <w:rFonts w:hint="eastAsia" w:ascii="仿宋" w:hAnsi="仿宋" w:eastAsia="仿宋" w:cs="仿宋"/>
          <w:b/>
          <w:bCs/>
          <w:sz w:val="32"/>
          <w:szCs w:val="32"/>
        </w:rPr>
        <w:t>绩效评价原则、评价指标体系（附表说明）、评价方法、评价标准等。</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我服务中心根据财政要求，积极参与白蚁防治的绩效评价，科学编制白蚁防治预算，根据预算分配资金，做到合理使用，专款专用。现根据客观、公正、易于操作、准确把握的原则，制定切实可行白蚁防治指标体系、评价方法和标准。通过查阅资料，了解该项白蚁防治专项资金是否及时拨付到位；检查白蚁防治所是否建立专门档案，将有关资料和工作情况分年度建档备查。对全县涉及项目有新建，改建，扩建，装饰装修，灭治，回访复查的预防工作，结合现场和非现场评价意见，进行综合评价。通过调查问卷，查企业、群众的满意度。</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1、评价指标体系。主要包括决策、管理、产出和效果四个方面，满分</w:t>
      </w:r>
      <w:r>
        <w:rPr>
          <w:rFonts w:hint="eastAsia" w:ascii="仿宋" w:hAnsi="仿宋" w:eastAsia="仿宋" w:cs="仿宋"/>
          <w:color w:val="000000" w:themeColor="text1"/>
          <w:sz w:val="32"/>
          <w:szCs w:val="32"/>
          <w:lang w:val="en-US" w:eastAsia="zh-CN"/>
          <w14:textFill>
            <w14:solidFill>
              <w14:schemeClr w14:val="tx1"/>
            </w14:solidFill>
          </w14:textFill>
        </w:rPr>
        <w:t>100</w:t>
      </w:r>
      <w:r>
        <w:rPr>
          <w:rFonts w:hint="eastAsia" w:ascii="仿宋" w:hAnsi="仿宋" w:eastAsia="仿宋" w:cs="仿宋"/>
          <w:color w:val="000000" w:themeColor="text1"/>
          <w:sz w:val="32"/>
          <w:szCs w:val="32"/>
          <w14:textFill>
            <w14:solidFill>
              <w14:schemeClr w14:val="tx1"/>
            </w14:solidFill>
          </w14:textFill>
        </w:rPr>
        <w:t>分</w:t>
      </w:r>
      <w:r>
        <w:rPr>
          <w:rFonts w:hint="eastAsia" w:ascii="仿宋" w:hAnsi="仿宋" w:eastAsia="仿宋" w:cs="仿宋"/>
          <w:color w:val="000000" w:themeColor="text1"/>
          <w:sz w:val="32"/>
          <w:szCs w:val="32"/>
          <w:lang w:eastAsia="zh-CN"/>
          <w14:textFill>
            <w14:solidFill>
              <w14:schemeClr w14:val="tx1"/>
            </w14:solidFill>
          </w14:textFill>
        </w:rPr>
        <w:t>，自评</w:t>
      </w:r>
      <w:r>
        <w:rPr>
          <w:rFonts w:hint="eastAsia" w:ascii="仿宋" w:hAnsi="仿宋" w:eastAsia="仿宋" w:cs="仿宋"/>
          <w:color w:val="000000" w:themeColor="text1"/>
          <w:sz w:val="32"/>
          <w:szCs w:val="32"/>
          <w:lang w:val="en-US" w:eastAsia="zh-CN"/>
          <w14:textFill>
            <w14:solidFill>
              <w14:schemeClr w14:val="tx1"/>
            </w14:solidFill>
          </w14:textFill>
        </w:rPr>
        <w:t>96分，</w:t>
      </w:r>
      <w:r>
        <w:rPr>
          <w:rFonts w:hint="eastAsia" w:ascii="仿宋" w:hAnsi="仿宋" w:eastAsia="仿宋" w:cs="仿宋"/>
          <w:color w:val="000000" w:themeColor="text1"/>
          <w:sz w:val="32"/>
          <w:szCs w:val="32"/>
          <w14:textFill>
            <w14:solidFill>
              <w14:schemeClr w14:val="tx1"/>
            </w14:solidFill>
          </w14:textFill>
        </w:rPr>
        <w:t>具体见附件二：《项目支出绩效评价指标评分表》</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2、评价标准。见附件一：《项目支出绩效自评表》</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3、如实填报各项指标数据，如资金的预算，拨付、使用。如实报告白蚁防治的数量、质量、时效及成本。</w:t>
      </w:r>
    </w:p>
    <w:p>
      <w:pPr>
        <w:ind w:left="210"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（三）绩效评价工作过程。</w:t>
      </w:r>
    </w:p>
    <w:p>
      <w:pPr>
        <w:ind w:left="210"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7</w:t>
      </w:r>
      <w:r>
        <w:rPr>
          <w:rFonts w:hint="eastAsia" w:ascii="仿宋" w:hAnsi="仿宋" w:eastAsia="仿宋" w:cs="仿宋"/>
          <w:color w:val="000000" w:themeColor="text1"/>
          <w:sz w:val="32"/>
          <w:szCs w:val="32"/>
          <w14:textFill>
            <w14:solidFill>
              <w14:schemeClr w14:val="tx1"/>
            </w14:solidFill>
          </w14:textFill>
        </w:rPr>
        <w:t>月份县财政局</w:t>
      </w:r>
      <w:r>
        <w:rPr>
          <w:rFonts w:hint="eastAsia" w:ascii="仿宋" w:hAnsi="仿宋" w:eastAsia="仿宋" w:cs="仿宋"/>
          <w:color w:val="000000" w:themeColor="text1"/>
          <w:sz w:val="32"/>
          <w:szCs w:val="32"/>
          <w:lang w:eastAsia="zh-CN"/>
          <w14:textFill>
            <w14:solidFill>
              <w14:schemeClr w14:val="tx1"/>
            </w14:solidFill>
          </w14:textFill>
        </w:rPr>
        <w:t>下达文件</w:t>
      </w:r>
      <w:r>
        <w:rPr>
          <w:rFonts w:hint="eastAsia" w:ascii="仿宋" w:hAnsi="仿宋" w:eastAsia="仿宋" w:cs="仿宋"/>
          <w:color w:val="000000" w:themeColor="text1"/>
          <w:sz w:val="32"/>
          <w:szCs w:val="32"/>
          <w14:textFill>
            <w14:solidFill>
              <w14:schemeClr w14:val="tx1"/>
            </w14:solidFill>
          </w14:textFill>
        </w:rPr>
        <w:t>中财</w:t>
      </w:r>
      <w:r>
        <w:rPr>
          <w:rFonts w:hint="eastAsia" w:ascii="仿宋" w:hAnsi="仿宋" w:eastAsia="仿宋" w:cs="仿宋"/>
          <w:color w:val="000000" w:themeColor="text1"/>
          <w:sz w:val="32"/>
          <w:szCs w:val="32"/>
          <w:lang w:val="en-US" w:eastAsia="zh-CN"/>
          <w14:textFill>
            <w14:solidFill>
              <w14:schemeClr w14:val="tx1"/>
            </w14:solidFill>
          </w14:textFill>
        </w:rPr>
        <w:t>绩</w:t>
      </w:r>
      <w:r>
        <w:rPr>
          <w:rFonts w:hint="eastAsia" w:ascii="仿宋" w:hAnsi="仿宋" w:eastAsia="仿宋" w:cs="仿宋"/>
          <w:color w:val="000000" w:themeColor="text1"/>
          <w:sz w:val="32"/>
          <w:szCs w:val="32"/>
          <w14:textFill>
            <w14:solidFill>
              <w14:schemeClr w14:val="tx1"/>
            </w14:solidFill>
          </w14:textFill>
        </w:rPr>
        <w:t>〔202</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171</w:t>
      </w:r>
      <w:r>
        <w:rPr>
          <w:rFonts w:hint="eastAsia" w:ascii="仿宋" w:hAnsi="仿宋" w:eastAsia="仿宋" w:cs="仿宋"/>
          <w:color w:val="000000" w:themeColor="text1"/>
          <w:sz w:val="32"/>
          <w:szCs w:val="32"/>
          <w14:textFill>
            <w14:solidFill>
              <w14:schemeClr w14:val="tx1"/>
            </w14:solidFill>
          </w14:textFill>
        </w:rPr>
        <w:t>号</w:t>
      </w:r>
      <w:r>
        <w:rPr>
          <w:rFonts w:hint="eastAsia" w:ascii="仿宋" w:hAnsi="仿宋" w:eastAsia="仿宋" w:cs="仿宋"/>
          <w:color w:val="000000" w:themeColor="text1"/>
          <w:sz w:val="32"/>
          <w:szCs w:val="32"/>
          <w:lang w:eastAsia="zh-CN"/>
          <w14:textFill>
            <w14:solidFill>
              <w14:schemeClr w14:val="tx1"/>
            </w14:solidFill>
          </w14:textFill>
        </w:rPr>
        <w:t>，根据文件要求</w:t>
      </w:r>
      <w:r>
        <w:rPr>
          <w:rFonts w:hint="eastAsia" w:ascii="仿宋" w:hAnsi="仿宋" w:eastAsia="仿宋" w:cs="仿宋"/>
          <w:color w:val="000000" w:themeColor="text1"/>
          <w:sz w:val="32"/>
          <w:szCs w:val="32"/>
          <w14:textFill>
            <w14:solidFill>
              <w14:schemeClr w14:val="tx1"/>
            </w14:solidFill>
          </w14:textFill>
        </w:rPr>
        <w:t>我们制定了绩效评价工作</w:t>
      </w:r>
      <w:r>
        <w:rPr>
          <w:rFonts w:hint="eastAsia" w:ascii="仿宋" w:hAnsi="仿宋" w:eastAsia="仿宋" w:cs="仿宋"/>
          <w:color w:val="000000" w:themeColor="text1"/>
          <w:sz w:val="32"/>
          <w:szCs w:val="32"/>
          <w:lang w:eastAsia="zh-CN"/>
          <w14:textFill>
            <w14:solidFill>
              <w14:schemeClr w14:val="tx1"/>
            </w14:solidFill>
          </w14:textFill>
        </w:rPr>
        <w:t>自查</w:t>
      </w:r>
      <w:r>
        <w:rPr>
          <w:rFonts w:hint="eastAsia" w:ascii="仿宋" w:hAnsi="仿宋" w:eastAsia="仿宋" w:cs="仿宋"/>
          <w:color w:val="000000" w:themeColor="text1"/>
          <w:sz w:val="32"/>
          <w:szCs w:val="32"/>
          <w14:textFill>
            <w14:solidFill>
              <w14:schemeClr w14:val="tx1"/>
            </w14:solidFill>
          </w14:textFill>
        </w:rPr>
        <w:t>方案，制定了项目指标体系及评价标准。</w:t>
      </w:r>
    </w:p>
    <w:p>
      <w:pPr>
        <w:ind w:firstLine="800" w:firstLineChars="2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本次评价具体共分四个阶段进行：</w:t>
      </w:r>
    </w:p>
    <w:p>
      <w:pPr>
        <w:ind w:firstLine="643"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1、准备阶段</w:t>
      </w:r>
      <w:r>
        <w:rPr>
          <w:rFonts w:hint="eastAsia" w:ascii="仿宋" w:hAnsi="仿宋" w:eastAsia="仿宋" w:cs="仿宋"/>
          <w:b/>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成立项目评价工作领导小组，</w:t>
      </w:r>
      <w:r>
        <w:rPr>
          <w:rFonts w:hint="eastAsia" w:ascii="仿宋" w:hAnsi="仿宋" w:eastAsia="仿宋" w:cs="仿宋"/>
          <w:color w:val="000000" w:themeColor="text1"/>
          <w:sz w:val="32"/>
          <w:szCs w:val="32"/>
          <w:lang w:eastAsia="zh-CN"/>
          <w14:textFill>
            <w14:solidFill>
              <w14:schemeClr w14:val="tx1"/>
            </w14:solidFill>
          </w14:textFill>
        </w:rPr>
        <w:t>郑杰任</w:t>
      </w:r>
      <w:r>
        <w:rPr>
          <w:rFonts w:hint="eastAsia" w:ascii="仿宋" w:hAnsi="仿宋" w:eastAsia="仿宋" w:cs="仿宋"/>
          <w:color w:val="000000" w:themeColor="text1"/>
          <w:sz w:val="32"/>
          <w:szCs w:val="32"/>
          <w14:textFill>
            <w14:solidFill>
              <w14:schemeClr w14:val="tx1"/>
            </w14:solidFill>
          </w14:textFill>
        </w:rPr>
        <w:t>组长，</w:t>
      </w:r>
      <w:r>
        <w:rPr>
          <w:rFonts w:hint="eastAsia" w:ascii="仿宋" w:hAnsi="仿宋" w:eastAsia="仿宋" w:cs="仿宋"/>
          <w:color w:val="000000" w:themeColor="text1"/>
          <w:sz w:val="32"/>
          <w:szCs w:val="32"/>
          <w:lang w:eastAsia="zh-CN"/>
          <w14:textFill>
            <w14:solidFill>
              <w14:schemeClr w14:val="tx1"/>
            </w14:solidFill>
          </w14:textFill>
        </w:rPr>
        <w:t>陈诚</w:t>
      </w:r>
      <w:r>
        <w:rPr>
          <w:rFonts w:hint="eastAsia" w:ascii="仿宋" w:hAnsi="仿宋" w:eastAsia="仿宋" w:cs="仿宋"/>
          <w:color w:val="000000" w:themeColor="text1"/>
          <w:sz w:val="32"/>
          <w:szCs w:val="32"/>
          <w14:textFill>
            <w14:solidFill>
              <w14:schemeClr w14:val="tx1"/>
            </w14:solidFill>
          </w14:textFill>
        </w:rPr>
        <w:t>任副组长，单伟、潘云武、陶秀国、倪伟任组员。负责制定</w:t>
      </w:r>
      <w:r>
        <w:rPr>
          <w:rFonts w:hint="eastAsia" w:ascii="仿宋" w:hAnsi="仿宋" w:eastAsia="仿宋" w:cs="仿宋"/>
          <w:color w:val="000000" w:themeColor="text1"/>
          <w:sz w:val="32"/>
          <w:szCs w:val="32"/>
          <w:lang w:eastAsia="zh-CN"/>
          <w14:textFill>
            <w14:solidFill>
              <w14:schemeClr w14:val="tx1"/>
            </w14:solidFill>
          </w14:textFill>
        </w:rPr>
        <w:t>自评方案</w:t>
      </w:r>
      <w:r>
        <w:rPr>
          <w:rFonts w:hint="eastAsia" w:ascii="仿宋" w:hAnsi="仿宋" w:eastAsia="仿宋" w:cs="仿宋"/>
          <w:color w:val="000000" w:themeColor="text1"/>
          <w:sz w:val="32"/>
          <w:szCs w:val="32"/>
          <w14:textFill>
            <w14:solidFill>
              <w14:schemeClr w14:val="tx1"/>
            </w14:solidFill>
          </w14:textFill>
        </w:rPr>
        <w:t>，安排布置评价工作任务。</w:t>
      </w:r>
    </w:p>
    <w:p>
      <w:pPr>
        <w:ind w:firstLine="643"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2、制定指标体系与评价方案</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进行调研，考察、咨询、收集资料，制定切实可行的指标体系和评价方案。</w:t>
      </w:r>
    </w:p>
    <w:p>
      <w:pPr>
        <w:ind w:firstLine="643"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3、评价工作执行阶段</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进行白蚁防治预算资金的拨付、使用、分配调查；对服务对象个人和企业进行走访询问，发放调查问卷等形式，调查白蚁防治的普及率、群众的满意度；整理收集的数据和依据。</w:t>
      </w:r>
    </w:p>
    <w:p>
      <w:pPr>
        <w:ind w:firstLine="643"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4、评价报告撰写、上报</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根据调查结果和数据以及指标体系，撰写</w:t>
      </w:r>
      <w:r>
        <w:rPr>
          <w:rFonts w:hint="eastAsia" w:ascii="仿宋" w:hAnsi="仿宋" w:eastAsia="仿宋" w:cs="仿宋"/>
          <w:color w:val="000000" w:themeColor="text1"/>
          <w:sz w:val="32"/>
          <w:szCs w:val="32"/>
          <w:lang w:val="en-US" w:eastAsia="zh-CN"/>
          <w14:textFill>
            <w14:solidFill>
              <w14:schemeClr w14:val="tx1"/>
            </w14:solidFill>
          </w14:textFill>
        </w:rPr>
        <w:t>2022年度白蚁防治项目支出</w:t>
      </w:r>
      <w:r>
        <w:rPr>
          <w:rFonts w:hint="eastAsia" w:ascii="仿宋" w:hAnsi="仿宋" w:eastAsia="仿宋" w:cs="仿宋"/>
          <w:color w:val="000000" w:themeColor="text1"/>
          <w:sz w:val="32"/>
          <w:szCs w:val="32"/>
          <w14:textFill>
            <w14:solidFill>
              <w14:schemeClr w14:val="tx1"/>
            </w14:solidFill>
          </w14:textFill>
        </w:rPr>
        <w:t>绩效</w:t>
      </w:r>
      <w:r>
        <w:rPr>
          <w:rFonts w:hint="eastAsia" w:ascii="仿宋" w:hAnsi="仿宋" w:eastAsia="仿宋" w:cs="仿宋"/>
          <w:color w:val="000000" w:themeColor="text1"/>
          <w:sz w:val="32"/>
          <w:szCs w:val="32"/>
          <w:lang w:eastAsia="zh-CN"/>
          <w14:textFill>
            <w14:solidFill>
              <w14:schemeClr w14:val="tx1"/>
            </w14:solidFill>
          </w14:textFill>
        </w:rPr>
        <w:t>自评</w:t>
      </w:r>
      <w:r>
        <w:rPr>
          <w:rFonts w:hint="eastAsia" w:ascii="仿宋" w:hAnsi="仿宋" w:eastAsia="仿宋" w:cs="仿宋"/>
          <w:color w:val="000000" w:themeColor="text1"/>
          <w:sz w:val="32"/>
          <w:szCs w:val="32"/>
          <w14:textFill>
            <w14:solidFill>
              <w14:schemeClr w14:val="tx1"/>
            </w14:solidFill>
          </w14:textFill>
        </w:rPr>
        <w:t>报告，上报财政局。</w:t>
      </w:r>
    </w:p>
    <w:p>
      <w:pPr>
        <w:spacing w:after="0" w:line="600" w:lineRule="exact"/>
        <w:rPr>
          <w:rFonts w:hint="eastAsia" w:ascii="仿宋" w:hAnsi="仿宋" w:eastAsia="仿宋" w:cs="仿宋"/>
          <w:sz w:val="32"/>
          <w:szCs w:val="32"/>
        </w:rPr>
      </w:pPr>
    </w:p>
    <w:p>
      <w:pPr>
        <w:numPr>
          <w:ilvl w:val="0"/>
          <w:numId w:val="3"/>
        </w:numPr>
        <w:ind w:firstLine="800" w:firstLineChars="250"/>
        <w:rPr>
          <w:rFonts w:hint="eastAsia" w:ascii="仿宋" w:hAnsi="仿宋" w:eastAsia="仿宋" w:cs="仿宋"/>
          <w:b w:val="0"/>
          <w:bCs w:val="0"/>
          <w:sz w:val="32"/>
          <w:szCs w:val="32"/>
        </w:rPr>
      </w:pPr>
      <w:r>
        <w:rPr>
          <w:rFonts w:hint="eastAsia" w:ascii="仿宋" w:hAnsi="仿宋" w:eastAsia="仿宋" w:cs="仿宋"/>
          <w:b w:val="0"/>
          <w:bCs w:val="0"/>
          <w:sz w:val="32"/>
          <w:szCs w:val="32"/>
        </w:rPr>
        <w:t>综合评价情况及评价结论（附相关评分表）</w:t>
      </w:r>
    </w:p>
    <w:p>
      <w:pPr>
        <w:numPr>
          <w:ilvl w:val="0"/>
          <w:numId w:val="0"/>
        </w:numPr>
        <w:rPr>
          <w:rFonts w:hint="eastAsia" w:ascii="仿宋" w:hAnsi="仿宋" w:eastAsia="仿宋" w:cs="仿宋"/>
          <w:b/>
          <w:sz w:val="32"/>
          <w:szCs w:val="32"/>
        </w:rPr>
      </w:pPr>
      <w:r>
        <w:rPr>
          <w:rFonts w:hint="eastAsia" w:ascii="仿宋" w:hAnsi="仿宋" w:eastAsia="仿宋" w:cs="仿宋"/>
          <w:sz w:val="32"/>
          <w:szCs w:val="32"/>
        </w:rPr>
        <w:t>经</w:t>
      </w:r>
      <w:r>
        <w:rPr>
          <w:rFonts w:hint="eastAsia" w:ascii="仿宋" w:hAnsi="仿宋" w:eastAsia="仿宋" w:cs="仿宋"/>
          <w:sz w:val="32"/>
          <w:szCs w:val="32"/>
          <w:lang w:eastAsia="zh-CN"/>
        </w:rPr>
        <w:t>自</w:t>
      </w:r>
      <w:r>
        <w:rPr>
          <w:rFonts w:hint="eastAsia" w:ascii="仿宋" w:hAnsi="仿宋" w:eastAsia="仿宋" w:cs="仿宋"/>
          <w:sz w:val="32"/>
          <w:szCs w:val="32"/>
        </w:rPr>
        <w:t>查核实，该项目绩效自我评价得分</w:t>
      </w:r>
      <w:r>
        <w:rPr>
          <w:rFonts w:hint="eastAsia" w:ascii="仿宋" w:hAnsi="仿宋" w:eastAsia="仿宋" w:cs="仿宋"/>
          <w:sz w:val="32"/>
          <w:szCs w:val="32"/>
          <w:lang w:val="en-US" w:eastAsia="zh-CN"/>
        </w:rPr>
        <w:t>96</w:t>
      </w:r>
      <w:r>
        <w:rPr>
          <w:rFonts w:hint="eastAsia" w:ascii="仿宋" w:hAnsi="仿宋" w:eastAsia="仿宋" w:cs="仿宋"/>
          <w:sz w:val="32"/>
          <w:szCs w:val="32"/>
        </w:rPr>
        <w:t>分，综合评价等级为：优。</w:t>
      </w:r>
      <w:r>
        <w:rPr>
          <w:rFonts w:hint="eastAsia" w:ascii="仿宋" w:hAnsi="仿宋" w:eastAsia="仿宋" w:cs="仿宋"/>
          <w:sz w:val="32"/>
          <w:szCs w:val="32"/>
          <w:lang w:eastAsia="zh-CN"/>
        </w:rPr>
        <w:t>（</w:t>
      </w:r>
      <w:r>
        <w:rPr>
          <w:rFonts w:hint="eastAsia" w:ascii="仿宋" w:hAnsi="仿宋" w:eastAsia="仿宋" w:cs="仿宋"/>
          <w:sz w:val="32"/>
          <w:szCs w:val="32"/>
        </w:rPr>
        <w:t>1）202</w:t>
      </w:r>
      <w:r>
        <w:rPr>
          <w:rFonts w:hint="eastAsia" w:ascii="仿宋" w:hAnsi="仿宋" w:eastAsia="仿宋" w:cs="仿宋"/>
          <w:sz w:val="32"/>
          <w:szCs w:val="32"/>
          <w:lang w:val="en-US" w:eastAsia="zh-CN"/>
        </w:rPr>
        <w:t>2</w:t>
      </w:r>
      <w:r>
        <w:rPr>
          <w:rFonts w:hint="eastAsia" w:ascii="仿宋" w:hAnsi="仿宋" w:eastAsia="仿宋" w:cs="仿宋"/>
          <w:sz w:val="32"/>
          <w:szCs w:val="32"/>
        </w:rPr>
        <w:t>年白蚁防治专项资金的申报材料规范齐全、评审程序公平公正，资金的发放与管理较规范。</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中方县范围内新建、改建、扩建、装饰装修等建筑基础及本体结构白蚁预防率100%，排除了白蚁危害安全隐患，项目满意100%。</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r>
        <w:rPr>
          <w:rFonts w:hint="eastAsia" w:ascii="仿宋" w:hAnsi="仿宋" w:eastAsia="仿宋" w:cs="仿宋"/>
          <w:sz w:val="32"/>
          <w:szCs w:val="32"/>
        </w:rPr>
        <w:t>在</w:t>
      </w:r>
      <w:r>
        <w:rPr>
          <w:rFonts w:hint="eastAsia" w:ascii="仿宋" w:hAnsi="仿宋" w:eastAsia="仿宋" w:cs="仿宋"/>
          <w:sz w:val="32"/>
          <w:szCs w:val="32"/>
          <w:lang w:eastAsia="zh-CN"/>
        </w:rPr>
        <w:t>白蚁</w:t>
      </w:r>
      <w:r>
        <w:rPr>
          <w:rFonts w:hint="eastAsia" w:ascii="仿宋" w:hAnsi="仿宋" w:eastAsia="仿宋" w:cs="仿宋"/>
          <w:sz w:val="32"/>
          <w:szCs w:val="32"/>
        </w:rPr>
        <w:t>灭治中及时地对已经造成危害的蚁害进行灭杀，防止蚁害扩散，确保房屋住用安全</w:t>
      </w:r>
      <w:r>
        <w:rPr>
          <w:rFonts w:hint="eastAsia" w:ascii="仿宋" w:hAnsi="仿宋" w:eastAsia="仿宋" w:cs="仿宋"/>
          <w:sz w:val="32"/>
          <w:szCs w:val="32"/>
          <w:lang w:eastAsia="zh-CN"/>
        </w:rPr>
        <w:t>；对县直机关单位及园林绿化进行白蚁防治灭治</w:t>
      </w:r>
      <w:r>
        <w:rPr>
          <w:rFonts w:hint="eastAsia" w:ascii="仿宋" w:hAnsi="仿宋" w:eastAsia="仿宋" w:cs="仿宋"/>
          <w:sz w:val="32"/>
          <w:szCs w:val="32"/>
        </w:rPr>
        <w:t>。</w:t>
      </w:r>
    </w:p>
    <w:p>
      <w:pPr>
        <w:spacing w:after="0" w:line="600" w:lineRule="exact"/>
        <w:ind w:firstLine="640" w:firstLineChars="200"/>
        <w:rPr>
          <w:rFonts w:hint="eastAsia" w:ascii="仿宋" w:hAnsi="仿宋" w:eastAsia="仿宋" w:cs="仿宋"/>
          <w:b w:val="0"/>
          <w:bCs w:val="0"/>
          <w:sz w:val="32"/>
          <w:szCs w:val="32"/>
        </w:rPr>
      </w:pPr>
    </w:p>
    <w:p>
      <w:pPr>
        <w:spacing w:after="0"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四、绩效评价指标分析</w:t>
      </w:r>
    </w:p>
    <w:p>
      <w:pPr>
        <w:ind w:firstLine="321" w:firstLineChars="100"/>
        <w:rPr>
          <w:rFonts w:hint="eastAsia" w:ascii="仿宋" w:hAnsi="仿宋" w:eastAsia="仿宋" w:cs="仿宋"/>
          <w:b/>
          <w:sz w:val="32"/>
          <w:szCs w:val="32"/>
        </w:rPr>
      </w:pPr>
      <w:r>
        <w:rPr>
          <w:rFonts w:hint="eastAsia" w:ascii="仿宋" w:hAnsi="仿宋" w:eastAsia="仿宋" w:cs="仿宋"/>
          <w:b/>
          <w:sz w:val="32"/>
          <w:szCs w:val="32"/>
        </w:rPr>
        <w:t>（一）项目决策情况</w:t>
      </w:r>
    </w:p>
    <w:p>
      <w:pPr>
        <w:ind w:firstLine="630" w:firstLineChars="196"/>
        <w:rPr>
          <w:rFonts w:hint="eastAsia" w:ascii="仿宋" w:hAnsi="仿宋" w:eastAsia="仿宋" w:cs="仿宋"/>
          <w:b/>
          <w:sz w:val="32"/>
          <w:szCs w:val="32"/>
        </w:rPr>
      </w:pPr>
      <w:r>
        <w:rPr>
          <w:rFonts w:hint="eastAsia" w:ascii="仿宋" w:hAnsi="仿宋" w:eastAsia="仿宋" w:cs="仿宋"/>
          <w:b/>
          <w:sz w:val="32"/>
          <w:szCs w:val="32"/>
        </w:rPr>
        <w:t>该指标分值</w:t>
      </w:r>
      <w:r>
        <w:rPr>
          <w:rFonts w:hint="eastAsia" w:ascii="仿宋" w:hAnsi="仿宋" w:eastAsia="仿宋" w:cs="仿宋"/>
          <w:b/>
          <w:sz w:val="32"/>
          <w:szCs w:val="32"/>
          <w:lang w:val="en-US" w:eastAsia="zh-CN"/>
        </w:rPr>
        <w:t>21</w:t>
      </w:r>
      <w:r>
        <w:rPr>
          <w:rFonts w:hint="eastAsia" w:ascii="仿宋" w:hAnsi="仿宋" w:eastAsia="仿宋" w:cs="仿宋"/>
          <w:b/>
          <w:sz w:val="32"/>
          <w:szCs w:val="32"/>
        </w:rPr>
        <w:t>分，得分</w:t>
      </w:r>
      <w:r>
        <w:rPr>
          <w:rFonts w:hint="eastAsia" w:ascii="仿宋" w:hAnsi="仿宋" w:eastAsia="仿宋" w:cs="仿宋"/>
          <w:b/>
          <w:sz w:val="32"/>
          <w:szCs w:val="32"/>
          <w:lang w:val="en-US" w:eastAsia="zh-CN"/>
        </w:rPr>
        <w:t>21</w:t>
      </w:r>
      <w:r>
        <w:rPr>
          <w:rFonts w:hint="eastAsia" w:ascii="仿宋" w:hAnsi="仿宋" w:eastAsia="仿宋" w:cs="仿宋"/>
          <w:b/>
          <w:sz w:val="32"/>
          <w:szCs w:val="32"/>
        </w:rPr>
        <w:t>分。</w:t>
      </w:r>
    </w:p>
    <w:p>
      <w:pPr>
        <w:ind w:firstLine="643" w:firstLineChars="200"/>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1、项目立项依据</w:t>
      </w:r>
    </w:p>
    <w:p>
      <w:pPr>
        <w:ind w:firstLine="480" w:firstLineChars="1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《湖南省财政厅、湖南省发展和改革委员会》（湘财综[2017]16号）、《湖南省住房和城乡建设厅》（湘建房[2017]147号）。</w:t>
      </w:r>
    </w:p>
    <w:p>
      <w:pPr>
        <w:ind w:firstLine="480" w:firstLineChars="1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w:t>
      </w:r>
      <w:r>
        <w:rPr>
          <w:rFonts w:hint="eastAsia" w:ascii="仿宋" w:hAnsi="仿宋" w:eastAsia="仿宋" w:cs="仿宋"/>
          <w:b/>
          <w:color w:val="000000" w:themeColor="text1"/>
          <w:sz w:val="32"/>
          <w:szCs w:val="32"/>
          <w14:textFill>
            <w14:solidFill>
              <w14:schemeClr w14:val="tx1"/>
            </w14:solidFill>
          </w14:textFill>
        </w:rPr>
        <w:t>项目申报的可行性</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根据《城市房屋白蚁防治管理规定》，做好城市房屋白蚁防治工作，保障城市房屋住用安全。</w:t>
      </w:r>
    </w:p>
    <w:p>
      <w:pPr>
        <w:ind w:left="560"/>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3、项目申报的必要性</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白蚁防治工作既是一项公益事业，又是一项民生工程，白蚁防治单位要进一步强化服务意识，简化办事流程。我省是白蚁高危地区，白蚁危害十分严重，做好白蚁防治工作，确保城市房屋住用安全，是住房城乡建设主管部门的一项重要职责。全省各级住房城乡建设主管部门要进一步做好新建、改建、扩建、装饰装修等房屋的白蚁预防和原有房屋的白蚁检查和灭治的管理工作。</w:t>
      </w:r>
    </w:p>
    <w:p>
      <w:pPr>
        <w:numPr>
          <w:ilvl w:val="0"/>
          <w:numId w:val="2"/>
        </w:numPr>
        <w:ind w:left="210" w:leftChars="0" w:firstLine="0" w:firstLineChars="0"/>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项目过程情况</w:t>
      </w:r>
    </w:p>
    <w:p>
      <w:pPr>
        <w:ind w:firstLine="472" w:firstLineChars="147"/>
        <w:rPr>
          <w:rFonts w:hint="eastAsia" w:ascii="仿宋" w:hAnsi="仿宋" w:eastAsia="仿宋" w:cs="仿宋"/>
          <w:b/>
          <w:color w:val="FF0000"/>
          <w:sz w:val="32"/>
          <w:szCs w:val="32"/>
        </w:rPr>
      </w:pPr>
      <w:r>
        <w:rPr>
          <w:rFonts w:hint="eastAsia" w:ascii="仿宋" w:hAnsi="仿宋" w:eastAsia="仿宋" w:cs="仿宋"/>
          <w:b/>
          <w:sz w:val="32"/>
          <w:szCs w:val="32"/>
        </w:rPr>
        <w:t>该指标分值</w:t>
      </w:r>
      <w:r>
        <w:rPr>
          <w:rFonts w:hint="eastAsia" w:ascii="仿宋" w:hAnsi="仿宋" w:eastAsia="仿宋" w:cs="仿宋"/>
          <w:b/>
          <w:sz w:val="32"/>
          <w:szCs w:val="32"/>
          <w:lang w:val="en-US" w:eastAsia="zh-CN"/>
        </w:rPr>
        <w:t>19</w:t>
      </w:r>
      <w:r>
        <w:rPr>
          <w:rFonts w:hint="eastAsia" w:ascii="仿宋" w:hAnsi="仿宋" w:eastAsia="仿宋" w:cs="仿宋"/>
          <w:b/>
          <w:sz w:val="32"/>
          <w:szCs w:val="32"/>
        </w:rPr>
        <w:t>分，得分</w:t>
      </w:r>
      <w:r>
        <w:rPr>
          <w:rFonts w:hint="eastAsia" w:ascii="仿宋" w:hAnsi="仿宋" w:eastAsia="仿宋" w:cs="仿宋"/>
          <w:b/>
          <w:sz w:val="32"/>
          <w:szCs w:val="32"/>
          <w:lang w:val="en-US" w:eastAsia="zh-CN"/>
        </w:rPr>
        <w:t>19</w:t>
      </w:r>
      <w:r>
        <w:rPr>
          <w:rFonts w:hint="eastAsia" w:ascii="仿宋" w:hAnsi="仿宋" w:eastAsia="仿宋" w:cs="仿宋"/>
          <w:b/>
          <w:sz w:val="32"/>
          <w:szCs w:val="32"/>
        </w:rPr>
        <w:t>分。</w:t>
      </w:r>
    </w:p>
    <w:p>
      <w:pPr>
        <w:ind w:firstLine="640" w:firstLineChars="200"/>
        <w:rPr>
          <w:rFonts w:hint="eastAsia" w:ascii="仿宋" w:hAnsi="仿宋" w:eastAsia="仿宋" w:cs="仿宋"/>
          <w:b/>
          <w:color w:val="auto"/>
          <w:sz w:val="32"/>
          <w:szCs w:val="32"/>
        </w:rPr>
      </w:pPr>
      <w:r>
        <w:rPr>
          <w:rFonts w:hint="eastAsia" w:ascii="仿宋" w:hAnsi="仿宋" w:eastAsia="仿宋" w:cs="仿宋"/>
          <w:color w:val="auto"/>
          <w:sz w:val="32"/>
          <w:szCs w:val="32"/>
        </w:rPr>
        <w:t>1、</w:t>
      </w:r>
      <w:r>
        <w:rPr>
          <w:rFonts w:hint="eastAsia" w:ascii="仿宋" w:hAnsi="仿宋" w:eastAsia="仿宋" w:cs="仿宋"/>
          <w:b/>
          <w:color w:val="auto"/>
          <w:sz w:val="32"/>
          <w:szCs w:val="32"/>
        </w:rPr>
        <w:t>项目资金管理</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1）资金预算：白蚁防治专项资金202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年财政部门下达资金1</w:t>
      </w:r>
      <w:r>
        <w:rPr>
          <w:rFonts w:hint="eastAsia" w:ascii="仿宋" w:hAnsi="仿宋" w:eastAsia="仿宋" w:cs="仿宋"/>
          <w:color w:val="auto"/>
          <w:sz w:val="32"/>
          <w:szCs w:val="32"/>
          <w:lang w:val="en-US" w:eastAsia="zh-CN"/>
        </w:rPr>
        <w:t>1.21</w:t>
      </w:r>
      <w:r>
        <w:rPr>
          <w:rFonts w:hint="eastAsia" w:ascii="仿宋" w:hAnsi="仿宋" w:eastAsia="仿宋" w:cs="仿宋"/>
          <w:color w:val="auto"/>
          <w:sz w:val="32"/>
          <w:szCs w:val="32"/>
          <w:lang w:eastAsia="zh-CN"/>
        </w:rPr>
        <w:t>万</w:t>
      </w:r>
      <w:r>
        <w:rPr>
          <w:rFonts w:hint="eastAsia" w:ascii="仿宋" w:hAnsi="仿宋" w:eastAsia="仿宋" w:cs="仿宋"/>
          <w:color w:val="auto"/>
          <w:sz w:val="32"/>
          <w:szCs w:val="32"/>
        </w:rPr>
        <w:t>元。</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2）资金拨付：202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年财政已拨付白蚁防治专项资金</w:t>
      </w:r>
      <w:r>
        <w:rPr>
          <w:rFonts w:hint="eastAsia" w:ascii="仿宋" w:hAnsi="仿宋" w:eastAsia="仿宋" w:cs="仿宋"/>
          <w:color w:val="auto"/>
          <w:sz w:val="32"/>
          <w:szCs w:val="32"/>
          <w:lang w:val="en-US" w:eastAsia="zh-CN"/>
        </w:rPr>
        <w:t>11.21</w:t>
      </w:r>
      <w:r>
        <w:rPr>
          <w:rFonts w:hint="eastAsia" w:ascii="仿宋" w:hAnsi="仿宋" w:eastAsia="仿宋" w:cs="仿宋"/>
          <w:color w:val="auto"/>
          <w:sz w:val="32"/>
          <w:szCs w:val="32"/>
        </w:rPr>
        <w:t>万</w:t>
      </w:r>
      <w:r>
        <w:rPr>
          <w:rFonts w:hint="eastAsia" w:ascii="仿宋" w:hAnsi="仿宋" w:eastAsia="仿宋" w:cs="仿宋"/>
          <w:color w:val="auto"/>
          <w:sz w:val="32"/>
          <w:szCs w:val="32"/>
          <w:lang w:eastAsia="zh-CN"/>
        </w:rPr>
        <w:t>元</w:t>
      </w:r>
      <w:r>
        <w:rPr>
          <w:rFonts w:hint="eastAsia" w:ascii="仿宋" w:hAnsi="仿宋" w:eastAsia="仿宋" w:cs="仿宋"/>
          <w:color w:val="auto"/>
          <w:sz w:val="32"/>
          <w:szCs w:val="32"/>
        </w:rPr>
        <w:t>。</w:t>
      </w:r>
    </w:p>
    <w:p>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3）白蚁防治专项资金使用情况：202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年白蚁防治实际产生的药水、施工工具</w:t>
      </w:r>
      <w:r>
        <w:rPr>
          <w:rFonts w:hint="eastAsia" w:ascii="仿宋" w:hAnsi="仿宋" w:eastAsia="仿宋" w:cs="仿宋"/>
          <w:color w:val="auto"/>
          <w:sz w:val="32"/>
          <w:szCs w:val="32"/>
          <w:lang w:eastAsia="zh-CN"/>
        </w:rPr>
        <w:t>等费用</w:t>
      </w:r>
      <w:r>
        <w:rPr>
          <w:rFonts w:hint="eastAsia" w:ascii="仿宋" w:hAnsi="仿宋" w:eastAsia="仿宋" w:cs="仿宋"/>
          <w:color w:val="auto"/>
          <w:sz w:val="32"/>
          <w:szCs w:val="32"/>
        </w:rPr>
        <w:t>由财政</w:t>
      </w:r>
      <w:r>
        <w:rPr>
          <w:rFonts w:hint="eastAsia" w:ascii="仿宋" w:hAnsi="仿宋" w:eastAsia="仿宋" w:cs="仿宋"/>
          <w:color w:val="auto"/>
          <w:sz w:val="32"/>
          <w:szCs w:val="32"/>
          <w:lang w:eastAsia="zh-CN"/>
        </w:rPr>
        <w:t>下达指标，</w:t>
      </w:r>
      <w:r>
        <w:rPr>
          <w:rFonts w:hint="eastAsia" w:ascii="仿宋" w:hAnsi="仿宋" w:eastAsia="仿宋" w:cs="仿宋"/>
          <w:color w:val="auto"/>
          <w:sz w:val="32"/>
          <w:szCs w:val="32"/>
        </w:rPr>
        <w:t>住房保障服务中心支付。</w:t>
      </w:r>
    </w:p>
    <w:p>
      <w:pPr>
        <w:ind w:firstLine="640" w:firstLineChars="200"/>
        <w:rPr>
          <w:rFonts w:hint="eastAsia" w:ascii="仿宋" w:hAnsi="仿宋" w:eastAsia="仿宋" w:cs="仿宋"/>
          <w:b/>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4）白蚁防治专项资金结余情况：202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年白蚁防治专</w:t>
      </w:r>
      <w:r>
        <w:rPr>
          <w:rFonts w:hint="eastAsia" w:ascii="仿宋" w:hAnsi="仿宋" w:eastAsia="仿宋" w:cs="仿宋"/>
          <w:color w:val="auto"/>
          <w:sz w:val="32"/>
          <w:szCs w:val="32"/>
          <w:lang w:eastAsia="zh-CN"/>
        </w:rPr>
        <w:t>项</w:t>
      </w:r>
      <w:r>
        <w:rPr>
          <w:rFonts w:hint="eastAsia" w:ascii="仿宋" w:hAnsi="仿宋" w:eastAsia="仿宋" w:cs="仿宋"/>
          <w:color w:val="auto"/>
          <w:sz w:val="32"/>
          <w:szCs w:val="32"/>
        </w:rPr>
        <w:t>到位资金1</w:t>
      </w:r>
      <w:r>
        <w:rPr>
          <w:rFonts w:hint="eastAsia" w:ascii="仿宋" w:hAnsi="仿宋" w:eastAsia="仿宋" w:cs="仿宋"/>
          <w:color w:val="auto"/>
          <w:sz w:val="32"/>
          <w:szCs w:val="32"/>
          <w:lang w:val="en-US" w:eastAsia="zh-CN"/>
        </w:rPr>
        <w:t>1.21</w:t>
      </w:r>
      <w:r>
        <w:rPr>
          <w:rFonts w:hint="eastAsia" w:ascii="仿宋" w:hAnsi="仿宋" w:eastAsia="仿宋" w:cs="仿宋"/>
          <w:color w:val="auto"/>
          <w:sz w:val="32"/>
          <w:szCs w:val="32"/>
        </w:rPr>
        <w:t>万元，实际</w:t>
      </w:r>
      <w:r>
        <w:rPr>
          <w:rFonts w:hint="eastAsia" w:ascii="仿宋" w:hAnsi="仿宋" w:eastAsia="仿宋" w:cs="仿宋"/>
          <w:color w:val="auto"/>
          <w:sz w:val="32"/>
          <w:szCs w:val="32"/>
          <w:lang w:eastAsia="zh-CN"/>
        </w:rPr>
        <w:t>支出</w:t>
      </w:r>
      <w:r>
        <w:rPr>
          <w:rFonts w:hint="eastAsia" w:ascii="仿宋" w:hAnsi="仿宋" w:eastAsia="仿宋" w:cs="仿宋"/>
          <w:color w:val="auto"/>
          <w:sz w:val="32"/>
          <w:szCs w:val="32"/>
          <w:lang w:val="en-US" w:eastAsia="zh-CN"/>
        </w:rPr>
        <w:t>11.21</w:t>
      </w:r>
      <w:r>
        <w:rPr>
          <w:rFonts w:hint="eastAsia" w:ascii="仿宋" w:hAnsi="仿宋" w:eastAsia="仿宋" w:cs="仿宋"/>
          <w:color w:val="auto"/>
          <w:sz w:val="32"/>
          <w:szCs w:val="32"/>
        </w:rPr>
        <w:t>万元，年底无结余。</w:t>
      </w:r>
    </w:p>
    <w:p>
      <w:pPr>
        <w:ind w:firstLine="630" w:firstLineChars="196"/>
        <w:rPr>
          <w:rFonts w:hint="eastAsia" w:ascii="仿宋" w:hAnsi="仿宋" w:eastAsia="仿宋" w:cs="仿宋"/>
          <w:b/>
          <w:color w:val="auto"/>
          <w:sz w:val="32"/>
          <w:szCs w:val="32"/>
        </w:rPr>
      </w:pPr>
      <w:r>
        <w:rPr>
          <w:rFonts w:hint="eastAsia" w:ascii="仿宋" w:hAnsi="仿宋" w:eastAsia="仿宋" w:cs="仿宋"/>
          <w:b/>
          <w:color w:val="auto"/>
          <w:sz w:val="32"/>
          <w:szCs w:val="32"/>
        </w:rPr>
        <w:t>2、灭治实施计划管理</w:t>
      </w:r>
    </w:p>
    <w:p>
      <w:pPr>
        <w:ind w:left="220" w:leftChars="100"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1）农村白蚁防治工作开始实施时间为202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年1月，完成时间为202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年12月。</w:t>
      </w:r>
    </w:p>
    <w:p>
      <w:pPr>
        <w:ind w:left="220" w:leftChars="100" w:firstLine="320" w:firstLineChars="100"/>
        <w:rPr>
          <w:rFonts w:hint="eastAsia" w:ascii="仿宋" w:hAnsi="仿宋" w:eastAsia="仿宋" w:cs="仿宋"/>
          <w:color w:val="auto"/>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2）城镇白蚁防治工作开始实施时间为202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年1月，完成时间为202</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rPr>
        <w:t>年12月。</w:t>
      </w:r>
    </w:p>
    <w:p>
      <w:pPr>
        <w:ind w:firstLine="643" w:firstLineChars="200"/>
        <w:rPr>
          <w:rFonts w:hint="eastAsia" w:ascii="仿宋" w:hAnsi="仿宋" w:eastAsia="仿宋" w:cs="仿宋"/>
          <w:b/>
          <w:color w:val="auto"/>
          <w:sz w:val="32"/>
          <w:szCs w:val="32"/>
        </w:rPr>
      </w:pPr>
      <w:r>
        <w:rPr>
          <w:rFonts w:hint="eastAsia" w:ascii="仿宋" w:hAnsi="仿宋" w:eastAsia="仿宋" w:cs="仿宋"/>
          <w:b/>
          <w:color w:val="auto"/>
          <w:sz w:val="32"/>
          <w:szCs w:val="32"/>
        </w:rPr>
        <w:t>3、白蚁防治实施程序管理</w:t>
      </w:r>
    </w:p>
    <w:p>
      <w:pPr>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rPr>
        <w:t>1）申请</w:t>
      </w:r>
      <w:r>
        <w:rPr>
          <w:rFonts w:hint="eastAsia" w:ascii="仿宋" w:hAnsi="仿宋" w:eastAsia="仿宋" w:cs="仿宋"/>
          <w:color w:val="auto"/>
          <w:sz w:val="32"/>
          <w:szCs w:val="32"/>
        </w:rPr>
        <w:t>：每年初到年底前由个人</w:t>
      </w:r>
      <w:r>
        <w:rPr>
          <w:rFonts w:hint="eastAsia" w:ascii="仿宋" w:hAnsi="仿宋" w:eastAsia="仿宋" w:cs="仿宋"/>
          <w:color w:val="auto"/>
          <w:sz w:val="32"/>
          <w:szCs w:val="32"/>
          <w:lang w:eastAsia="zh-CN"/>
        </w:rPr>
        <w:t>（或单位）</w:t>
      </w:r>
      <w:r>
        <w:rPr>
          <w:rFonts w:hint="eastAsia" w:ascii="仿宋" w:hAnsi="仿宋" w:eastAsia="仿宋" w:cs="仿宋"/>
          <w:color w:val="auto"/>
          <w:sz w:val="32"/>
          <w:szCs w:val="32"/>
        </w:rPr>
        <w:t>向白蚁防治部门提交申请，白蚁防治单位对申请表进行初审。</w:t>
      </w:r>
    </w:p>
    <w:p>
      <w:pPr>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rPr>
        <w:t>2）勘察</w:t>
      </w:r>
      <w:r>
        <w:rPr>
          <w:rFonts w:hint="eastAsia" w:ascii="仿宋" w:hAnsi="仿宋" w:eastAsia="仿宋" w:cs="仿宋"/>
          <w:color w:val="auto"/>
          <w:sz w:val="32"/>
          <w:szCs w:val="32"/>
        </w:rPr>
        <w:t>：白蚁防治单位对所需防治的个人（或单位）进行现场勘察，根据上级下达指标合理分配的个人（或单位）指标数量。</w:t>
      </w:r>
    </w:p>
    <w:p>
      <w:pPr>
        <w:ind w:firstLine="643" w:firstLineChars="200"/>
        <w:rPr>
          <w:rFonts w:hint="eastAsia" w:ascii="仿宋" w:hAnsi="仿宋" w:eastAsia="仿宋" w:cs="仿宋"/>
          <w:color w:val="auto"/>
          <w:sz w:val="32"/>
          <w:szCs w:val="32"/>
        </w:rPr>
      </w:pPr>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rPr>
        <w:t>3）施工</w:t>
      </w:r>
      <w:r>
        <w:rPr>
          <w:rFonts w:hint="eastAsia" w:ascii="仿宋" w:hAnsi="仿宋" w:eastAsia="仿宋" w:cs="仿宋"/>
          <w:color w:val="auto"/>
          <w:sz w:val="32"/>
          <w:szCs w:val="32"/>
        </w:rPr>
        <w:t>：白蚁防治单位根据指标数量对提出申请的白蚁防治进行评审、现场勘察、汇报后报县白蚁防治单位进行施工。</w:t>
      </w:r>
    </w:p>
    <w:p>
      <w:pPr>
        <w:ind w:firstLine="643" w:firstLineChars="200"/>
        <w:rPr>
          <w:rFonts w:hint="eastAsia" w:ascii="仿宋" w:hAnsi="仿宋" w:eastAsia="仿宋" w:cs="仿宋"/>
          <w:color w:val="FF0000"/>
          <w:sz w:val="32"/>
          <w:szCs w:val="32"/>
          <w:lang w:eastAsia="zh-CN"/>
        </w:rPr>
      </w:pPr>
      <w:r>
        <w:rPr>
          <w:rFonts w:hint="eastAsia" w:ascii="仿宋" w:hAnsi="仿宋" w:eastAsia="仿宋" w:cs="仿宋"/>
          <w:b/>
          <w:color w:val="auto"/>
          <w:sz w:val="32"/>
          <w:szCs w:val="32"/>
          <w:lang w:eastAsia="zh-CN"/>
        </w:rPr>
        <w:t>（</w:t>
      </w:r>
      <w:r>
        <w:rPr>
          <w:rFonts w:hint="eastAsia" w:ascii="仿宋" w:hAnsi="仿宋" w:eastAsia="仿宋" w:cs="仿宋"/>
          <w:b/>
          <w:color w:val="auto"/>
          <w:sz w:val="32"/>
          <w:szCs w:val="32"/>
        </w:rPr>
        <w:t>4）验收</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组织人员对施工地点和施工场地进行</w:t>
      </w:r>
      <w:r>
        <w:rPr>
          <w:rFonts w:hint="eastAsia" w:ascii="仿宋" w:hAnsi="仿宋" w:eastAsia="仿宋" w:cs="仿宋"/>
          <w:color w:val="auto"/>
          <w:sz w:val="32"/>
          <w:szCs w:val="32"/>
        </w:rPr>
        <w:t>现场勘察</w:t>
      </w:r>
      <w:r>
        <w:rPr>
          <w:rFonts w:hint="eastAsia" w:ascii="仿宋" w:hAnsi="仿宋" w:eastAsia="仿宋" w:cs="仿宋"/>
          <w:color w:val="auto"/>
          <w:sz w:val="32"/>
          <w:szCs w:val="32"/>
          <w:lang w:eastAsia="zh-CN"/>
        </w:rPr>
        <w:t>、验收。</w:t>
      </w:r>
    </w:p>
    <w:p>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（三）项目产出情况</w:t>
      </w:r>
    </w:p>
    <w:p>
      <w:pPr>
        <w:ind w:firstLine="640" w:firstLineChars="200"/>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该指标分值32分，得分</w:t>
      </w:r>
      <w:r>
        <w:rPr>
          <w:rFonts w:hint="eastAsia" w:ascii="仿宋" w:hAnsi="仿宋" w:eastAsia="仿宋" w:cs="仿宋"/>
          <w:color w:val="auto"/>
          <w:sz w:val="32"/>
          <w:szCs w:val="32"/>
          <w:lang w:val="en-US" w:eastAsia="zh-CN"/>
        </w:rPr>
        <w:t>28</w:t>
      </w:r>
      <w:r>
        <w:rPr>
          <w:rFonts w:hint="eastAsia" w:ascii="仿宋" w:hAnsi="仿宋" w:eastAsia="仿宋" w:cs="仿宋"/>
          <w:color w:val="auto"/>
          <w:sz w:val="32"/>
          <w:szCs w:val="32"/>
          <w:lang w:eastAsia="zh-CN"/>
        </w:rPr>
        <w:t>分。（1）实际完成率：年度数量完成率 高，</w:t>
      </w:r>
      <w:r>
        <w:rPr>
          <w:rFonts w:hint="eastAsia" w:ascii="仿宋" w:hAnsi="仿宋" w:eastAsia="仿宋" w:cs="仿宋"/>
          <w:color w:val="auto"/>
          <w:sz w:val="32"/>
          <w:szCs w:val="32"/>
          <w:lang w:val="en-US" w:eastAsia="zh-CN"/>
        </w:rPr>
        <w:t>2022</w:t>
      </w:r>
      <w:r>
        <w:rPr>
          <w:rFonts w:hint="eastAsia" w:ascii="仿宋" w:hAnsi="仿宋" w:eastAsia="仿宋" w:cs="仿宋"/>
          <w:color w:val="auto"/>
          <w:sz w:val="32"/>
          <w:szCs w:val="32"/>
          <w:lang w:eastAsia="zh-CN"/>
        </w:rPr>
        <w:t>年完成白蚁防治灭治面积</w:t>
      </w:r>
      <w:r>
        <w:rPr>
          <w:rFonts w:hint="eastAsia" w:ascii="仿宋" w:hAnsi="仿宋" w:eastAsia="仿宋" w:cs="仿宋"/>
          <w:color w:val="auto"/>
          <w:sz w:val="32"/>
          <w:szCs w:val="32"/>
          <w:lang w:val="en-US" w:eastAsia="zh-CN"/>
        </w:rPr>
        <w:t>11.23万</w:t>
      </w:r>
      <w:r>
        <w:rPr>
          <w:rFonts w:hint="eastAsia" w:ascii="仿宋" w:hAnsi="仿宋" w:eastAsia="仿宋" w:cs="仿宋"/>
          <w:color w:val="auto"/>
          <w:sz w:val="32"/>
          <w:szCs w:val="32"/>
          <w:lang w:eastAsia="zh-CN"/>
        </w:rPr>
        <w:t>㎡，因资金不足未达到预期目标，扣</w:t>
      </w:r>
      <w:r>
        <w:rPr>
          <w:rFonts w:hint="eastAsia" w:ascii="仿宋" w:hAnsi="仿宋" w:eastAsia="仿宋" w:cs="仿宋"/>
          <w:color w:val="auto"/>
          <w:sz w:val="32"/>
          <w:szCs w:val="32"/>
          <w:lang w:val="en-US" w:eastAsia="zh-CN"/>
        </w:rPr>
        <w:t>4分；</w:t>
      </w:r>
      <w:r>
        <w:rPr>
          <w:rFonts w:hint="eastAsia" w:ascii="仿宋" w:hAnsi="仿宋" w:eastAsia="仿宋" w:cs="仿宋"/>
          <w:color w:val="auto"/>
          <w:sz w:val="32"/>
          <w:szCs w:val="32"/>
          <w:lang w:eastAsia="zh-CN"/>
        </w:rPr>
        <w:t>（2）质量达标率：质量达标率</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lang w:eastAsia="zh-CN"/>
        </w:rPr>
        <w:t>（3）完成及时性：按照项目实施计划及相关规定完成该项目；（4）成本节约率：我们秉着厉行节约原则，严格控制支出，严格审批，预算</w:t>
      </w:r>
      <w:r>
        <w:rPr>
          <w:rFonts w:hint="eastAsia" w:ascii="仿宋" w:hAnsi="仿宋" w:eastAsia="仿宋" w:cs="仿宋"/>
          <w:color w:val="auto"/>
          <w:sz w:val="32"/>
          <w:szCs w:val="32"/>
          <w:lang w:val="en-US" w:eastAsia="zh-CN"/>
        </w:rPr>
        <w:t>11.21</w:t>
      </w:r>
      <w:r>
        <w:rPr>
          <w:rFonts w:hint="eastAsia" w:ascii="仿宋" w:hAnsi="仿宋" w:eastAsia="仿宋" w:cs="仿宋"/>
          <w:color w:val="auto"/>
          <w:sz w:val="32"/>
          <w:szCs w:val="32"/>
          <w:lang w:eastAsia="zh-CN"/>
        </w:rPr>
        <w:t>万，使用</w:t>
      </w:r>
      <w:r>
        <w:rPr>
          <w:rFonts w:hint="eastAsia" w:ascii="仿宋" w:hAnsi="仿宋" w:eastAsia="仿宋" w:cs="仿宋"/>
          <w:color w:val="auto"/>
          <w:sz w:val="32"/>
          <w:szCs w:val="32"/>
          <w:lang w:val="en-US" w:eastAsia="zh-CN"/>
        </w:rPr>
        <w:t>11.21</w:t>
      </w:r>
      <w:r>
        <w:rPr>
          <w:rFonts w:hint="eastAsia" w:ascii="仿宋" w:hAnsi="仿宋" w:eastAsia="仿宋" w:cs="仿宋"/>
          <w:color w:val="auto"/>
          <w:sz w:val="32"/>
          <w:szCs w:val="32"/>
          <w:lang w:eastAsia="zh-CN"/>
        </w:rPr>
        <w:t>万元。</w:t>
      </w:r>
    </w:p>
    <w:p>
      <w:pPr>
        <w:ind w:left="210" w:firstLine="321" w:firstLineChars="100"/>
        <w:rPr>
          <w:rFonts w:hint="eastAsia"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（四）项目效益情况</w:t>
      </w:r>
    </w:p>
    <w:p>
      <w:pPr>
        <w:ind w:firstLine="640" w:firstLineChars="200"/>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该指标分值28分，得分28分。严格按照标准进行</w:t>
      </w:r>
      <w:r>
        <w:rPr>
          <w:rFonts w:hint="eastAsia" w:ascii="仿宋" w:hAnsi="仿宋" w:eastAsia="仿宋" w:cs="仿宋"/>
          <w:color w:val="000000" w:themeColor="text1"/>
          <w:sz w:val="32"/>
          <w:szCs w:val="32"/>
          <w:lang w:eastAsia="zh-CN"/>
          <w14:textFill>
            <w14:solidFill>
              <w14:schemeClr w14:val="tx1"/>
            </w14:solidFill>
          </w14:textFill>
        </w:rPr>
        <w:t>白蚁</w:t>
      </w:r>
      <w:r>
        <w:rPr>
          <w:rFonts w:hint="eastAsia" w:ascii="仿宋" w:hAnsi="仿宋" w:eastAsia="仿宋" w:cs="仿宋"/>
          <w:color w:val="000000" w:themeColor="text1"/>
          <w:sz w:val="32"/>
          <w:szCs w:val="32"/>
          <w14:textFill>
            <w14:solidFill>
              <w14:schemeClr w14:val="tx1"/>
            </w14:solidFill>
          </w14:textFill>
        </w:rPr>
        <w:t>防治</w:t>
      </w:r>
      <w:r>
        <w:rPr>
          <w:rFonts w:hint="eastAsia" w:ascii="仿宋" w:hAnsi="仿宋" w:eastAsia="仿宋" w:cs="仿宋"/>
          <w:color w:val="000000" w:themeColor="text1"/>
          <w:sz w:val="32"/>
          <w:szCs w:val="32"/>
          <w:lang w:eastAsia="zh-CN"/>
          <w14:textFill>
            <w14:solidFill>
              <w14:schemeClr w14:val="tx1"/>
            </w14:solidFill>
          </w14:textFill>
        </w:rPr>
        <w:t>灭治</w:t>
      </w:r>
      <w:r>
        <w:rPr>
          <w:rFonts w:hint="eastAsia" w:ascii="仿宋" w:hAnsi="仿宋" w:eastAsia="仿宋" w:cs="仿宋"/>
          <w:color w:val="000000" w:themeColor="text1"/>
          <w:sz w:val="32"/>
          <w:szCs w:val="32"/>
          <w14:textFill>
            <w14:solidFill>
              <w14:schemeClr w14:val="tx1"/>
            </w14:solidFill>
          </w14:textFill>
        </w:rPr>
        <w:t>施工，减少白蚁对人居环境的破坏</w:t>
      </w:r>
      <w:r>
        <w:rPr>
          <w:rFonts w:hint="eastAsia" w:ascii="仿宋" w:hAnsi="仿宋" w:eastAsia="仿宋" w:cs="仿宋"/>
          <w:color w:val="000000" w:themeColor="text1"/>
          <w:sz w:val="32"/>
          <w:szCs w:val="32"/>
          <w:lang w:eastAsia="zh-CN"/>
          <w14:textFill>
            <w14:solidFill>
              <w14:schemeClr w14:val="tx1"/>
            </w14:solidFill>
          </w14:textFill>
        </w:rPr>
        <w:t>，通过</w:t>
      </w:r>
      <w:r>
        <w:rPr>
          <w:rFonts w:hint="eastAsia" w:ascii="仿宋" w:hAnsi="仿宋" w:eastAsia="仿宋" w:cs="仿宋"/>
          <w:color w:val="000000" w:themeColor="text1"/>
          <w:sz w:val="32"/>
          <w:szCs w:val="32"/>
          <w14:textFill>
            <w14:solidFill>
              <w14:schemeClr w14:val="tx1"/>
            </w14:solidFill>
          </w14:textFill>
        </w:rPr>
        <w:t>白蚁防治保障人们房屋财产安全</w:t>
      </w:r>
      <w:r>
        <w:rPr>
          <w:rFonts w:hint="eastAsia" w:ascii="仿宋" w:hAnsi="仿宋" w:eastAsia="仿宋" w:cs="仿宋"/>
          <w:color w:val="000000" w:themeColor="text1"/>
          <w:sz w:val="32"/>
          <w:szCs w:val="32"/>
          <w:lang w:eastAsia="zh-CN"/>
          <w14:textFill>
            <w14:solidFill>
              <w14:schemeClr w14:val="tx1"/>
            </w14:solidFill>
          </w14:textFill>
        </w:rPr>
        <w:t>，维护居民居住</w:t>
      </w:r>
      <w:r>
        <w:rPr>
          <w:rFonts w:hint="eastAsia" w:ascii="仿宋" w:hAnsi="仿宋" w:eastAsia="仿宋" w:cs="仿宋"/>
          <w:color w:val="000000" w:themeColor="text1"/>
          <w:sz w:val="32"/>
          <w:szCs w:val="32"/>
          <w14:textFill>
            <w14:solidFill>
              <w14:schemeClr w14:val="tx1"/>
            </w14:solidFill>
          </w14:textFill>
        </w:rPr>
        <w:t>环境安全</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通过防治减少白蚁的危害</w:t>
      </w:r>
      <w:r>
        <w:rPr>
          <w:rFonts w:hint="eastAsia" w:ascii="仿宋" w:hAnsi="仿宋" w:eastAsia="仿宋" w:cs="仿宋"/>
          <w:color w:val="000000" w:themeColor="text1"/>
          <w:sz w:val="32"/>
          <w:szCs w:val="32"/>
          <w:lang w:eastAsia="zh-CN"/>
          <w14:textFill>
            <w14:solidFill>
              <w14:schemeClr w14:val="tx1"/>
            </w14:solidFill>
          </w14:textFill>
        </w:rPr>
        <w:t>，提高了人民生活的幸福指数。</w:t>
      </w:r>
    </w:p>
    <w:p>
      <w:pPr>
        <w:numPr>
          <w:ilvl w:val="0"/>
          <w:numId w:val="3"/>
        </w:numPr>
        <w:spacing w:after="0" w:line="600" w:lineRule="exact"/>
        <w:ind w:left="0" w:leftChars="0" w:firstLine="800" w:firstLineChars="2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主要经验及做法、存在的问题及原因分析</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1、人民群众对白蚁防治的认识不够，不重视。白蚁危害预防是一项长效的过程，没有立竿见影效果。必须加强白蚁防治的宣传力度，提高白蚁危害的预防意识；</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2、预算资金不足，制约了白蚁防治工作的开展；</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3、白蚁的监测需要采用高科技新技术，必须加强对白蚁防治专业知识业务培训，提高专业知识水平。</w:t>
      </w:r>
    </w:p>
    <w:p>
      <w:pPr>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4、项目组织管理、制度执行方面不够完善，有待进一步完善和规范。</w:t>
      </w:r>
    </w:p>
    <w:p>
      <w:pPr>
        <w:numPr>
          <w:ilvl w:val="0"/>
          <w:numId w:val="0"/>
        </w:numPr>
        <w:spacing w:after="0" w:line="600" w:lineRule="exact"/>
        <w:ind w:leftChars="250"/>
        <w:rPr>
          <w:rFonts w:hint="eastAsia" w:ascii="仿宋" w:hAnsi="仿宋" w:eastAsia="仿宋" w:cs="仿宋"/>
          <w:color w:val="FF0000"/>
          <w:sz w:val="32"/>
          <w:szCs w:val="32"/>
        </w:rPr>
      </w:pPr>
    </w:p>
    <w:p>
      <w:pPr>
        <w:numPr>
          <w:ilvl w:val="0"/>
          <w:numId w:val="3"/>
        </w:numPr>
        <w:spacing w:after="0" w:line="600" w:lineRule="exact"/>
        <w:ind w:left="0" w:leftChars="0" w:firstLine="800" w:firstLineChars="2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有关建议</w:t>
      </w:r>
    </w:p>
    <w:p>
      <w:pPr>
        <w:numPr>
          <w:ilvl w:val="0"/>
          <w:numId w:val="0"/>
        </w:numPr>
        <w:ind w:leftChars="1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增加预算资金，为采用高新监测技术和培训专业人才提供资金保障，也为更多的</w:t>
      </w:r>
      <w:r>
        <w:rPr>
          <w:rFonts w:hint="eastAsia" w:ascii="仿宋" w:hAnsi="仿宋" w:eastAsia="仿宋" w:cs="仿宋"/>
          <w:color w:val="000000" w:themeColor="text1"/>
          <w:sz w:val="32"/>
          <w:szCs w:val="32"/>
          <w:lang w:eastAsia="zh-CN"/>
          <w14:textFill>
            <w14:solidFill>
              <w14:schemeClr w14:val="tx1"/>
            </w14:solidFill>
          </w14:textFill>
        </w:rPr>
        <w:t>乡镇居民</w:t>
      </w:r>
      <w:r>
        <w:rPr>
          <w:rFonts w:hint="eastAsia" w:ascii="仿宋" w:hAnsi="仿宋" w:eastAsia="仿宋" w:cs="仿宋"/>
          <w:color w:val="000000" w:themeColor="text1"/>
          <w:sz w:val="32"/>
          <w:szCs w:val="32"/>
          <w14:textFill>
            <w14:solidFill>
              <w14:schemeClr w14:val="tx1"/>
            </w14:solidFill>
          </w14:textFill>
        </w:rPr>
        <w:t>提供帮助</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为扩大覆盖率提供资金保障。</w:t>
      </w:r>
    </w:p>
    <w:p>
      <w:pPr>
        <w:numPr>
          <w:ilvl w:val="0"/>
          <w:numId w:val="3"/>
        </w:numPr>
        <w:spacing w:after="0" w:line="600" w:lineRule="exact"/>
        <w:ind w:left="0" w:leftChars="0" w:firstLine="800" w:firstLineChars="25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其他需要说明的问题</w:t>
      </w:r>
    </w:p>
    <w:p>
      <w:pPr>
        <w:numPr>
          <w:ilvl w:val="0"/>
          <w:numId w:val="0"/>
        </w:numPr>
        <w:adjustRightInd w:val="0"/>
        <w:snapToGrid w:val="0"/>
        <w:spacing w:after="0" w:line="600" w:lineRule="exact"/>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无其他需要说明的问题</w:t>
      </w:r>
    </w:p>
    <w:p>
      <w:pPr>
        <w:bidi w:val="0"/>
        <w:rPr>
          <w:rFonts w:hint="eastAsia" w:ascii="Tahoma" w:hAnsi="Tahoma" w:eastAsia="微软雅黑" w:cstheme="minorBidi"/>
          <w:sz w:val="22"/>
          <w:szCs w:val="22"/>
          <w:lang w:val="en-US" w:eastAsia="zh-CN" w:bidi="ar-SA"/>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widowControl/>
        <w:spacing w:line="510" w:lineRule="exact"/>
        <w:jc w:val="left"/>
        <w:rPr>
          <w:rFonts w:ascii="Times New Roman" w:hAnsi="Times New Roman" w:eastAsia="仿宋_GB2312"/>
          <w:sz w:val="32"/>
          <w:szCs w:val="32"/>
        </w:rPr>
      </w:pPr>
      <w:r>
        <w:rPr>
          <w:rFonts w:hint="eastAsia"/>
          <w:lang w:val="en-US" w:eastAsia="zh-CN"/>
        </w:rPr>
        <w:tab/>
      </w:r>
      <w:r>
        <w:rPr>
          <w:rFonts w:ascii="Times New Roman" w:hAnsi="Times New Roman" w:eastAsia="仿宋_GB2312"/>
          <w:sz w:val="32"/>
          <w:szCs w:val="32"/>
        </w:rPr>
        <w:t>附件：1.项目支出绩效自评表</w:t>
      </w:r>
    </w:p>
    <w:p>
      <w:pPr>
        <w:widowControl/>
        <w:numPr>
          <w:ilvl w:val="0"/>
          <w:numId w:val="4"/>
        </w:numPr>
        <w:spacing w:line="510" w:lineRule="exact"/>
        <w:ind w:firstLine="960" w:firstLineChars="300"/>
        <w:jc w:val="left"/>
        <w:rPr>
          <w:rFonts w:ascii="Times New Roman" w:hAnsi="Times New Roman" w:eastAsia="仿宋_GB2312"/>
          <w:bCs/>
          <w:color w:val="000000"/>
          <w:kern w:val="0"/>
          <w:sz w:val="32"/>
          <w:szCs w:val="32"/>
        </w:rPr>
      </w:pPr>
      <w:r>
        <w:rPr>
          <w:rFonts w:ascii="Times New Roman" w:hAnsi="Times New Roman" w:eastAsia="仿宋_GB2312"/>
          <w:sz w:val="32"/>
          <w:szCs w:val="32"/>
        </w:rPr>
        <w:t>项目支出绩效评价指标</w:t>
      </w:r>
      <w:r>
        <w:rPr>
          <w:rFonts w:hint="eastAsia" w:ascii="Times New Roman" w:hAnsi="Times New Roman" w:eastAsia="仿宋_GB2312"/>
          <w:bCs/>
          <w:color w:val="000000"/>
          <w:kern w:val="0"/>
          <w:sz w:val="32"/>
          <w:szCs w:val="32"/>
        </w:rPr>
        <w:t>体系</w:t>
      </w: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spacing w:line="400" w:lineRule="exact"/>
        <w:rPr>
          <w:rFonts w:ascii="Times New Roman" w:hAnsi="Times New Roman" w:eastAsia="仿宋_GB2312"/>
          <w:bCs/>
          <w:color w:val="000000"/>
          <w:sz w:val="32"/>
          <w:szCs w:val="32"/>
        </w:rPr>
      </w:pPr>
    </w:p>
    <w:p>
      <w:pPr>
        <w:rPr>
          <w:rFonts w:ascii="黑体" w:hAnsi="黑体" w:eastAsia="黑体" w:cs="黑体"/>
          <w:sz w:val="28"/>
          <w:szCs w:val="28"/>
        </w:rPr>
      </w:pPr>
      <w:r>
        <w:rPr>
          <w:rFonts w:hint="eastAsia" w:ascii="黑体" w:hAnsi="黑体" w:eastAsia="黑体" w:cs="黑体"/>
          <w:sz w:val="28"/>
          <w:szCs w:val="28"/>
        </w:rPr>
        <w:t>附件1：</w:t>
      </w:r>
    </w:p>
    <w:p>
      <w:pPr>
        <w:spacing w:after="0" w:line="7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项目支出绩效自评表</w:t>
      </w:r>
    </w:p>
    <w:p>
      <w:pPr>
        <w:spacing w:after="0"/>
        <w:jc w:val="center"/>
        <w:rPr>
          <w:rFonts w:ascii="黑体" w:hAnsi="黑体" w:eastAsia="黑体" w:cs="黑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2022</w:t>
      </w:r>
      <w:r>
        <w:rPr>
          <w:rFonts w:hint="eastAsia" w:ascii="宋体" w:hAnsi="宋体" w:eastAsia="宋体" w:cs="宋体"/>
          <w:sz w:val="24"/>
          <w:szCs w:val="24"/>
        </w:rPr>
        <w:t xml:space="preserve">  年度）</w:t>
      </w:r>
    </w:p>
    <w:tbl>
      <w:tblPr>
        <w:tblStyle w:val="7"/>
        <w:tblW w:w="9080" w:type="dxa"/>
        <w:jc w:val="center"/>
        <w:tblLayout w:type="fixed"/>
        <w:tblCellMar>
          <w:top w:w="0" w:type="dxa"/>
          <w:left w:w="108" w:type="dxa"/>
          <w:bottom w:w="0" w:type="dxa"/>
          <w:right w:w="108" w:type="dxa"/>
        </w:tblCellMar>
      </w:tblPr>
      <w:tblGrid>
        <w:gridCol w:w="588"/>
        <w:gridCol w:w="980"/>
        <w:gridCol w:w="1195"/>
        <w:gridCol w:w="647"/>
        <w:gridCol w:w="1134"/>
        <w:gridCol w:w="284"/>
        <w:gridCol w:w="850"/>
        <w:gridCol w:w="851"/>
        <w:gridCol w:w="283"/>
        <w:gridCol w:w="284"/>
        <w:gridCol w:w="425"/>
        <w:gridCol w:w="142"/>
        <w:gridCol w:w="709"/>
        <w:gridCol w:w="708"/>
      </w:tblGrid>
      <w:tr>
        <w:tblPrEx>
          <w:tblCellMar>
            <w:top w:w="0" w:type="dxa"/>
            <w:left w:w="108" w:type="dxa"/>
            <w:bottom w:w="0" w:type="dxa"/>
            <w:right w:w="108" w:type="dxa"/>
          </w:tblCellMar>
        </w:tblPrEx>
        <w:trPr>
          <w:trHeight w:val="46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项目名称</w:t>
            </w:r>
          </w:p>
        </w:tc>
        <w:tc>
          <w:tcPr>
            <w:tcW w:w="7512" w:type="dxa"/>
            <w:gridSpan w:val="1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白蚁防治专项</w:t>
            </w:r>
          </w:p>
        </w:tc>
      </w:tr>
      <w:tr>
        <w:tblPrEx>
          <w:tblCellMar>
            <w:top w:w="0" w:type="dxa"/>
            <w:left w:w="108" w:type="dxa"/>
            <w:bottom w:w="0" w:type="dxa"/>
            <w:right w:w="108" w:type="dxa"/>
          </w:tblCellMar>
        </w:tblPrEx>
        <w:trPr>
          <w:trHeight w:val="39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中方县城乡住房建设局</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实施单位</w:t>
            </w:r>
          </w:p>
        </w:tc>
        <w:tc>
          <w:tcPr>
            <w:tcW w:w="2268"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中方县住房保障服务中心</w:t>
            </w:r>
          </w:p>
        </w:tc>
      </w:tr>
      <w:tr>
        <w:tblPrEx>
          <w:tblCellMar>
            <w:top w:w="0" w:type="dxa"/>
            <w:left w:w="108" w:type="dxa"/>
            <w:bottom w:w="0" w:type="dxa"/>
            <w:right w:w="108" w:type="dxa"/>
          </w:tblCellMar>
        </w:tblPrEx>
        <w:trPr>
          <w:trHeight w:val="44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项目资金</w:t>
            </w:r>
          </w:p>
          <w:p>
            <w:pPr>
              <w:spacing w:line="240" w:lineRule="exact"/>
              <w:jc w:val="center"/>
              <w:rPr>
                <w:rFonts w:ascii="宋体" w:hAnsi="宋体" w:eastAsia="宋体" w:cs="宋体"/>
                <w:sz w:val="18"/>
                <w:szCs w:val="18"/>
              </w:rPr>
            </w:pPr>
            <w:r>
              <w:rPr>
                <w:rFonts w:hint="eastAsia" w:ascii="宋体" w:hAnsi="宋体" w:eastAsia="宋体" w:cs="宋体"/>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年初预算数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全年预算数</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全年执行数</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执行率</w:t>
            </w: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r>
      <w:tr>
        <w:tblPrEx>
          <w:tblCellMar>
            <w:top w:w="0" w:type="dxa"/>
            <w:left w:w="108" w:type="dxa"/>
            <w:bottom w:w="0" w:type="dxa"/>
            <w:right w:w="108" w:type="dxa"/>
          </w:tblCellMar>
        </w:tblPrEx>
        <w:trPr>
          <w:trHeight w:val="47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sz w:val="18"/>
                <w:szCs w:val="18"/>
              </w:rPr>
            </w:pPr>
            <w:r>
              <w:rPr>
                <w:rFonts w:hint="eastAsia" w:ascii="宋体" w:hAnsi="宋体" w:eastAsia="宋体" w:cs="宋体"/>
                <w:sz w:val="18"/>
                <w:szCs w:val="18"/>
              </w:rPr>
              <w:t>年度资金总额</w:t>
            </w:r>
          </w:p>
        </w:tc>
        <w:tc>
          <w:tcPr>
            <w:tcW w:w="1134"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16.3</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11.21</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11.21</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708"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r>
      <w:tr>
        <w:tblPrEx>
          <w:tblCellMar>
            <w:top w:w="0" w:type="dxa"/>
            <w:left w:w="108" w:type="dxa"/>
            <w:bottom w:w="0" w:type="dxa"/>
            <w:right w:w="108" w:type="dxa"/>
          </w:tblCellMar>
        </w:tblPrEx>
        <w:trPr>
          <w:trHeight w:val="41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其中：当年财政拨款</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11.21</w:t>
            </w: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11.21</w:t>
            </w: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4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4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 xml:space="preserve">  其他资金</w:t>
            </w:r>
          </w:p>
        </w:tc>
        <w:tc>
          <w:tcPr>
            <w:tcW w:w="1134"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34"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9"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708"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44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预期目标</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实际完成情况</w:t>
            </w:r>
          </w:p>
        </w:tc>
      </w:tr>
      <w:tr>
        <w:tblPrEx>
          <w:tblCellMar>
            <w:top w:w="0" w:type="dxa"/>
            <w:left w:w="108" w:type="dxa"/>
            <w:bottom w:w="0" w:type="dxa"/>
            <w:right w:w="108" w:type="dxa"/>
          </w:tblCellMar>
        </w:tblPrEx>
        <w:trPr>
          <w:trHeight w:val="79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完成白蚁防治面积不少于25万平方米，完成白蚁灭治面积不少于1万平方米，减少白蚁破坏发生率。</w:t>
            </w:r>
          </w:p>
        </w:tc>
        <w:tc>
          <w:tcPr>
            <w:tcW w:w="3402" w:type="dxa"/>
            <w:gridSpan w:val="7"/>
            <w:tcBorders>
              <w:top w:val="single" w:color="auto" w:sz="4" w:space="0"/>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rPr>
            </w:pPr>
            <w:r>
              <w:rPr>
                <w:rFonts w:hint="eastAsia" w:ascii="宋体" w:hAnsi="宋体" w:eastAsia="宋体" w:cs="宋体"/>
                <w:i w:val="0"/>
                <w:iCs w:val="0"/>
                <w:caps w:val="0"/>
                <w:color w:val="222222"/>
                <w:spacing w:val="8"/>
                <w:sz w:val="18"/>
                <w:szCs w:val="18"/>
                <w:shd w:val="clear" w:color="auto" w:fill="FFFFFF"/>
                <w:lang w:val="en-US" w:eastAsia="zh-CN"/>
              </w:rPr>
              <w:t>全年共开展白蚁预防18宗，预防面积9.13万平方米，白蚁灭治35宗，灭治面积2.1万平方米</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绩</w:t>
            </w:r>
          </w:p>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效</w:t>
            </w:r>
          </w:p>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rPr>
              <w:t>指</w:t>
            </w:r>
          </w:p>
          <w:p>
            <w:pPr>
              <w:spacing w:line="240" w:lineRule="exact"/>
              <w:jc w:val="center"/>
              <w:rPr>
                <w:rFonts w:ascii="宋体" w:hAnsi="宋体" w:eastAsia="宋体" w:cs="宋体"/>
                <w:sz w:val="18"/>
                <w:szCs w:val="18"/>
              </w:rPr>
            </w:pPr>
            <w:r>
              <w:rPr>
                <w:rFonts w:hint="eastAsia" w:ascii="宋体" w:hAnsi="宋体" w:eastAsia="宋体" w:cs="宋体"/>
                <w:sz w:val="18"/>
                <w:szCs w:val="18"/>
              </w:rPr>
              <w:t>标</w:t>
            </w:r>
          </w:p>
        </w:tc>
        <w:tc>
          <w:tcPr>
            <w:tcW w:w="980"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一级指标</w:t>
            </w:r>
          </w:p>
        </w:tc>
        <w:tc>
          <w:tcPr>
            <w:tcW w:w="1195" w:type="dxa"/>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二级指标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三级指标</w:t>
            </w:r>
          </w:p>
        </w:tc>
        <w:tc>
          <w:tcPr>
            <w:tcW w:w="850"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年度</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指标值</w:t>
            </w:r>
          </w:p>
        </w:tc>
        <w:tc>
          <w:tcPr>
            <w:tcW w:w="851" w:type="dxa"/>
            <w:tcBorders>
              <w:top w:val="nil"/>
              <w:left w:val="nil"/>
              <w:bottom w:val="single" w:color="auto" w:sz="4" w:space="0"/>
              <w:right w:val="single" w:color="auto" w:sz="4" w:space="0"/>
            </w:tcBorders>
            <w:vAlign w:val="center"/>
          </w:tcPr>
          <w:p>
            <w:pPr>
              <w:spacing w:after="0" w:line="240" w:lineRule="exact"/>
              <w:jc w:val="center"/>
              <w:rPr>
                <w:rFonts w:ascii="宋体" w:hAnsi="宋体" w:eastAsia="宋体" w:cs="宋体"/>
                <w:sz w:val="18"/>
                <w:szCs w:val="18"/>
              </w:rPr>
            </w:pPr>
            <w:r>
              <w:rPr>
                <w:rFonts w:hint="eastAsia" w:ascii="宋体" w:hAnsi="宋体" w:eastAsia="宋体" w:cs="宋体"/>
                <w:sz w:val="18"/>
                <w:szCs w:val="18"/>
              </w:rPr>
              <w:t>实际</w:t>
            </w:r>
          </w:p>
          <w:p>
            <w:pPr>
              <w:spacing w:after="0" w:line="240" w:lineRule="exact"/>
              <w:jc w:val="center"/>
              <w:rPr>
                <w:rFonts w:ascii="宋体" w:hAnsi="宋体" w:eastAsia="宋体" w:cs="宋体"/>
                <w:sz w:val="18"/>
                <w:szCs w:val="18"/>
              </w:rPr>
            </w:pPr>
            <w:r>
              <w:rPr>
                <w:rFonts w:hint="eastAsia" w:ascii="宋体" w:hAnsi="宋体" w:eastAsia="宋体" w:cs="宋体"/>
                <w:sz w:val="18"/>
                <w:szCs w:val="18"/>
              </w:rPr>
              <w:t>完成值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分值</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得分</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偏差原因分析及改进措施</w:t>
            </w: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产出指标</w:t>
            </w: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数量指标</w:t>
            </w:r>
          </w:p>
        </w:tc>
        <w:tc>
          <w:tcPr>
            <w:tcW w:w="2065"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Arial Unicode MS" w:hAnsi="Arial Unicode MS" w:eastAsia="Arial Unicode MS" w:cs="Arial Unicode MS"/>
                <w:i w:val="0"/>
                <w:iCs w:val="0"/>
                <w:color w:val="000000"/>
                <w:sz w:val="20"/>
                <w:szCs w:val="20"/>
                <w:u w:val="none"/>
                <w:lang w:val="en-US" w:eastAsia="zh-CN" w:bidi="ar-SA"/>
              </w:rPr>
            </w:pPr>
            <w:r>
              <w:rPr>
                <w:rFonts w:hint="eastAsia" w:ascii="Arial Unicode MS" w:hAnsi="Arial Unicode MS" w:eastAsia="Arial Unicode MS" w:cs="Arial Unicode MS"/>
                <w:i w:val="0"/>
                <w:iCs w:val="0"/>
                <w:color w:val="000000"/>
                <w:kern w:val="0"/>
                <w:sz w:val="20"/>
                <w:szCs w:val="20"/>
                <w:u w:val="none"/>
                <w:lang w:val="en-US" w:eastAsia="zh-CN" w:bidi="ar"/>
              </w:rPr>
              <w:t>指标1：</w:t>
            </w:r>
            <w:r>
              <w:rPr>
                <w:rFonts w:hint="default" w:ascii="Arial Unicode MS" w:hAnsi="Arial Unicode MS" w:eastAsia="Arial Unicode MS" w:cs="Arial Unicode MS"/>
                <w:i w:val="0"/>
                <w:iCs w:val="0"/>
                <w:color w:val="000000"/>
                <w:kern w:val="0"/>
                <w:sz w:val="20"/>
                <w:szCs w:val="20"/>
                <w:u w:val="none"/>
                <w:lang w:val="en-US" w:eastAsia="zh-CN" w:bidi="ar"/>
              </w:rPr>
              <w:t>白蚁防治面积</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25</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9.13</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keepNext w:val="0"/>
              <w:keepLines w:val="0"/>
              <w:widowControl/>
              <w:suppressLineNumbers w:val="0"/>
              <w:jc w:val="left"/>
              <w:textAlignment w:val="center"/>
              <w:rPr>
                <w:rFonts w:ascii="Arial Unicode MS" w:hAnsi="Arial Unicode MS" w:eastAsia="Arial Unicode MS" w:cs="Arial Unicode MS"/>
                <w:i w:val="0"/>
                <w:iCs w:val="0"/>
                <w:color w:val="000000"/>
                <w:sz w:val="20"/>
                <w:szCs w:val="20"/>
                <w:u w:val="none"/>
                <w:lang w:val="en-US" w:eastAsia="zh-CN" w:bidi="ar-SA"/>
              </w:rPr>
            </w:pPr>
            <w:r>
              <w:rPr>
                <w:rFonts w:hint="eastAsia" w:ascii="Arial Unicode MS" w:hAnsi="Arial Unicode MS" w:eastAsia="Arial Unicode MS" w:cs="Arial Unicode MS"/>
                <w:i w:val="0"/>
                <w:iCs w:val="0"/>
                <w:color w:val="000000"/>
                <w:kern w:val="0"/>
                <w:sz w:val="20"/>
                <w:szCs w:val="20"/>
                <w:u w:val="none"/>
                <w:lang w:val="en-US" w:eastAsia="zh-CN" w:bidi="ar"/>
              </w:rPr>
              <w:t>指标2：</w:t>
            </w:r>
            <w:r>
              <w:rPr>
                <w:rFonts w:hint="default" w:ascii="Arial Unicode MS" w:hAnsi="Arial Unicode MS" w:eastAsia="Arial Unicode MS" w:cs="Arial Unicode MS"/>
                <w:i w:val="0"/>
                <w:iCs w:val="0"/>
                <w:color w:val="000000"/>
                <w:kern w:val="0"/>
                <w:sz w:val="20"/>
                <w:szCs w:val="20"/>
                <w:u w:val="none"/>
                <w:lang w:val="en-US" w:eastAsia="zh-CN" w:bidi="ar"/>
              </w:rPr>
              <w:t>白蚁灭治面积</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2.1</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质量指标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lang w:eastAsia="zh-CN"/>
              </w:rPr>
              <w:t>指标</w:t>
            </w:r>
            <w:r>
              <w:rPr>
                <w:rFonts w:hint="eastAsia" w:ascii="宋体" w:hAnsi="宋体" w:eastAsia="宋体" w:cs="宋体"/>
                <w:color w:val="000000"/>
                <w:sz w:val="18"/>
                <w:szCs w:val="18"/>
                <w:lang w:val="en-US" w:eastAsia="zh-CN"/>
              </w:rPr>
              <w:t>1：</w:t>
            </w:r>
            <w:r>
              <w:rPr>
                <w:rFonts w:hint="eastAsia" w:ascii="宋体" w:hAnsi="宋体" w:eastAsia="宋体" w:cs="宋体"/>
                <w:color w:val="000000"/>
                <w:sz w:val="18"/>
                <w:szCs w:val="18"/>
              </w:rPr>
              <w:t>灭治处理率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95%</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91%</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7</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63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lang w:eastAsia="zh-CN"/>
              </w:rPr>
              <w:t>指标</w:t>
            </w:r>
            <w:r>
              <w:rPr>
                <w:rFonts w:hint="eastAsia" w:ascii="宋体" w:hAnsi="宋体" w:eastAsia="宋体" w:cs="宋体"/>
                <w:color w:val="000000"/>
                <w:sz w:val="18"/>
                <w:szCs w:val="18"/>
                <w:lang w:val="en-US" w:eastAsia="zh-CN"/>
              </w:rPr>
              <w:t>2：</w:t>
            </w:r>
            <w:r>
              <w:rPr>
                <w:rFonts w:hint="eastAsia" w:ascii="宋体" w:hAnsi="宋体" w:eastAsia="宋体" w:cs="宋体"/>
                <w:color w:val="000000"/>
                <w:sz w:val="18"/>
                <w:szCs w:val="18"/>
              </w:rPr>
              <w:t>减少白蚁破坏率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8</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时效指标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灭害处理及时率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98%</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9</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成本指标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指标1：成本控制率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16.3</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11.21</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指标2：社会成本节约率</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8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lang w:eastAsia="zh-CN"/>
              </w:rPr>
              <w:t>指标</w:t>
            </w:r>
            <w:r>
              <w:rPr>
                <w:rFonts w:hint="eastAsia" w:ascii="宋体" w:hAnsi="宋体" w:eastAsia="宋体" w:cs="宋体"/>
                <w:color w:val="000000"/>
                <w:sz w:val="18"/>
                <w:szCs w:val="18"/>
                <w:lang w:val="en-US" w:eastAsia="zh-CN"/>
              </w:rPr>
              <w:t>3：</w:t>
            </w:r>
            <w:r>
              <w:rPr>
                <w:rFonts w:hint="eastAsia" w:ascii="宋体" w:hAnsi="宋体" w:eastAsia="宋体" w:cs="宋体"/>
                <w:color w:val="000000"/>
                <w:sz w:val="18"/>
                <w:szCs w:val="18"/>
              </w:rPr>
              <w:t>生态环境成本节约率</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6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效益指标</w:t>
            </w: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经济效益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指标1：减少白蚁对人居环境的破坏</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8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社会效益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指标1：白蚁防治保障人们房屋财产安全</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生态效益</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指标1：保护人居住宅环境安全</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可持续影响指标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w:t>
            </w:r>
            <w:r>
              <w:rPr>
                <w:rFonts w:hint="eastAsia" w:ascii="Times New Roman" w:hAnsi="Times New Roman"/>
                <w:color w:val="000000"/>
                <w:kern w:val="0"/>
                <w:sz w:val="18"/>
                <w:szCs w:val="18"/>
              </w:rPr>
              <w:t>通过防治减少白蚁的危害</w:t>
            </w:r>
          </w:p>
        </w:tc>
        <w:tc>
          <w:tcPr>
            <w:tcW w:w="850"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851" w:type="dxa"/>
            <w:tcBorders>
              <w:top w:val="nil"/>
              <w:left w:val="nil"/>
              <w:bottom w:val="single" w:color="auto" w:sz="4" w:space="0"/>
              <w:right w:val="single" w:color="auto" w:sz="4" w:space="0"/>
            </w:tcBorders>
            <w:vAlign w:val="center"/>
          </w:tcPr>
          <w:p>
            <w:pPr>
              <w:spacing w:line="240" w:lineRule="exact"/>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长期</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675" w:hRule="exact"/>
          <w:jc w:val="center"/>
        </w:trPr>
        <w:tc>
          <w:tcPr>
            <w:tcW w:w="588" w:type="dxa"/>
            <w:vMerge w:val="continue"/>
            <w:tcBorders>
              <w:left w:val="single" w:color="auto" w:sz="4" w:space="0"/>
              <w:right w:val="single" w:color="auto" w:sz="4" w:space="0"/>
            </w:tcBorders>
            <w:vAlign w:val="center"/>
          </w:tcPr>
          <w:p>
            <w:pPr>
              <w:spacing w:line="240" w:lineRule="exact"/>
              <w:jc w:val="center"/>
              <w:rPr>
                <w:rFonts w:ascii="宋体" w:hAnsi="宋体" w:eastAsia="宋体" w:cs="宋体"/>
                <w:sz w:val="18"/>
                <w:szCs w:val="18"/>
              </w:rPr>
            </w:pPr>
          </w:p>
        </w:tc>
        <w:tc>
          <w:tcPr>
            <w:tcW w:w="980" w:type="dxa"/>
            <w:tcBorders>
              <w:top w:val="nil"/>
              <w:left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满意度</w:t>
            </w:r>
          </w:p>
          <w:p>
            <w:pPr>
              <w:spacing w:line="240" w:lineRule="exact"/>
              <w:jc w:val="center"/>
              <w:rPr>
                <w:rFonts w:ascii="宋体" w:hAnsi="宋体" w:eastAsia="宋体" w:cs="宋体"/>
                <w:sz w:val="18"/>
                <w:szCs w:val="18"/>
              </w:rPr>
            </w:pPr>
            <w:r>
              <w:rPr>
                <w:rFonts w:hint="eastAsia" w:ascii="宋体" w:hAnsi="宋体" w:eastAsia="宋体" w:cs="宋体"/>
                <w:sz w:val="18"/>
                <w:szCs w:val="18"/>
              </w:rPr>
              <w:t>指标</w:t>
            </w:r>
          </w:p>
        </w:tc>
        <w:tc>
          <w:tcPr>
            <w:tcW w:w="1195" w:type="dxa"/>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sz w:val="18"/>
                <w:szCs w:val="18"/>
              </w:rPr>
            </w:pPr>
            <w:r>
              <w:rPr>
                <w:rFonts w:hint="eastAsia" w:ascii="宋体" w:hAnsi="宋体" w:eastAsia="宋体" w:cs="宋体"/>
                <w:sz w:val="18"/>
                <w:szCs w:val="18"/>
              </w:rPr>
              <w:t>服务对象满意度指标</w:t>
            </w:r>
          </w:p>
        </w:tc>
        <w:tc>
          <w:tcPr>
            <w:tcW w:w="2065" w:type="dxa"/>
            <w:gridSpan w:val="3"/>
            <w:tcBorders>
              <w:top w:val="single" w:color="auto" w:sz="4" w:space="0"/>
              <w:left w:val="nil"/>
              <w:bottom w:val="single" w:color="auto" w:sz="4" w:space="0"/>
              <w:right w:val="single" w:color="auto" w:sz="4" w:space="0"/>
            </w:tcBorders>
            <w:vAlign w:val="center"/>
          </w:tcPr>
          <w:p>
            <w:pPr>
              <w:spacing w:line="240" w:lineRule="exact"/>
              <w:rPr>
                <w:rFonts w:ascii="宋体" w:hAnsi="宋体" w:eastAsia="宋体" w:cs="宋体"/>
                <w:color w:val="000000"/>
                <w:sz w:val="18"/>
                <w:szCs w:val="18"/>
              </w:rPr>
            </w:pPr>
            <w:r>
              <w:rPr>
                <w:rFonts w:hint="eastAsia" w:ascii="宋体" w:hAnsi="宋体" w:eastAsia="宋体" w:cs="宋体"/>
                <w:color w:val="000000"/>
                <w:sz w:val="18"/>
                <w:szCs w:val="18"/>
              </w:rPr>
              <w:t>指标1：群众满意度</w:t>
            </w:r>
          </w:p>
        </w:tc>
        <w:tc>
          <w:tcPr>
            <w:tcW w:w="850"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51" w:type="dxa"/>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r>
        <w:tblPrEx>
          <w:tblCellMar>
            <w:top w:w="0" w:type="dxa"/>
            <w:left w:w="108" w:type="dxa"/>
            <w:bottom w:w="0" w:type="dxa"/>
            <w:right w:w="108" w:type="dxa"/>
          </w:tblCellMar>
        </w:tblPrEx>
        <w:trPr>
          <w:trHeight w:val="57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总分</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eastAsia="宋体" w:cs="宋体"/>
                <w:color w:val="000000"/>
                <w:sz w:val="18"/>
                <w:szCs w:val="18"/>
              </w:rPr>
            </w:pPr>
            <w:r>
              <w:rPr>
                <w:rFonts w:hint="eastAsia" w:ascii="宋体" w:hAnsi="宋体" w:eastAsia="宋体" w:cs="宋体"/>
                <w:color w:val="000000"/>
                <w:sz w:val="18"/>
                <w:szCs w:val="18"/>
              </w:rPr>
              <w:t>100</w:t>
            </w:r>
          </w:p>
        </w:tc>
        <w:tc>
          <w:tcPr>
            <w:tcW w:w="567" w:type="dxa"/>
            <w:gridSpan w:val="2"/>
            <w:tcBorders>
              <w:top w:val="nil"/>
              <w:left w:val="nil"/>
              <w:bottom w:val="single" w:color="auto" w:sz="4" w:space="0"/>
              <w:right w:val="single" w:color="auto" w:sz="4" w:space="0"/>
            </w:tcBorders>
            <w:vAlign w:val="center"/>
          </w:tcPr>
          <w:p>
            <w:pPr>
              <w:spacing w:line="240" w:lineRule="exact"/>
              <w:jc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96</w:t>
            </w:r>
          </w:p>
        </w:tc>
        <w:tc>
          <w:tcPr>
            <w:tcW w:w="1417"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eastAsia="宋体" w:cs="宋体"/>
                <w:sz w:val="18"/>
                <w:szCs w:val="18"/>
              </w:rPr>
            </w:pPr>
          </w:p>
        </w:tc>
      </w:tr>
    </w:tbl>
    <w:p>
      <w:pPr>
        <w:tabs>
          <w:tab w:val="left" w:pos="1776"/>
        </w:tabs>
        <w:bidi w:val="0"/>
        <w:jc w:val="left"/>
        <w:rPr>
          <w:rFonts w:hint="eastAsia"/>
          <w:lang w:val="en-US" w:eastAsia="zh-CN"/>
        </w:rPr>
        <w:sectPr>
          <w:footerReference r:id="rId4" w:type="default"/>
          <w:pgSz w:w="11906" w:h="16838"/>
          <w:pgMar w:top="1587" w:right="1587" w:bottom="1587" w:left="1587" w:header="708" w:footer="709" w:gutter="0"/>
          <w:cols w:space="0" w:num="1"/>
          <w:docGrid w:linePitch="360" w:charSpace="0"/>
        </w:sectPr>
      </w:pPr>
    </w:p>
    <w:p>
      <w:pPr>
        <w:spacing w:after="0" w:line="0" w:lineRule="atLeast"/>
        <w:rPr>
          <w:rFonts w:ascii="黑体" w:hAnsi="黑体" w:eastAsia="黑体" w:cs="黑体"/>
          <w:color w:val="000000"/>
          <w:sz w:val="28"/>
          <w:szCs w:val="28"/>
        </w:rPr>
      </w:pPr>
      <w:r>
        <w:rPr>
          <w:rFonts w:hint="eastAsia" w:ascii="黑体" w:hAnsi="黑体" w:eastAsia="黑体" w:cs="黑体"/>
          <w:color w:val="000000"/>
          <w:sz w:val="28"/>
          <w:szCs w:val="28"/>
        </w:rPr>
        <w:t>附件</w:t>
      </w:r>
      <w:r>
        <w:rPr>
          <w:rFonts w:hint="eastAsia" w:ascii="黑体" w:hAnsi="黑体" w:eastAsia="黑体" w:cs="黑体"/>
          <w:color w:val="000000"/>
          <w:sz w:val="28"/>
          <w:szCs w:val="28"/>
          <w:lang w:val="en-US" w:eastAsia="zh-CN"/>
        </w:rPr>
        <w:t>2</w:t>
      </w:r>
      <w:r>
        <w:rPr>
          <w:rFonts w:hint="eastAsia" w:ascii="黑体" w:hAnsi="黑体" w:eastAsia="黑体" w:cs="黑体"/>
          <w:color w:val="000000"/>
          <w:sz w:val="28"/>
          <w:szCs w:val="28"/>
        </w:rPr>
        <w:t>：</w:t>
      </w:r>
    </w:p>
    <w:p>
      <w:pPr>
        <w:pStyle w:val="2"/>
        <w:spacing w:before="0" w:after="0" w:line="240" w:lineRule="auto"/>
        <w:jc w:val="center"/>
        <w:rPr>
          <w:rFonts w:hint="eastAsia" w:ascii="Times New Roman" w:hAnsi="Times New Roman" w:eastAsia="宋体"/>
          <w:bCs/>
          <w:color w:val="000000"/>
          <w:sz w:val="36"/>
          <w:szCs w:val="28"/>
          <w:lang w:eastAsia="zh-CN"/>
        </w:rPr>
      </w:pPr>
      <w:r>
        <w:rPr>
          <w:rFonts w:ascii="Times New Roman" w:hAnsi="Times New Roman" w:eastAsia="宋体"/>
          <w:bCs/>
          <w:color w:val="000000"/>
          <w:sz w:val="36"/>
          <w:szCs w:val="28"/>
        </w:rPr>
        <w:t>项目支出绩效评价共性指标</w:t>
      </w:r>
      <w:r>
        <w:rPr>
          <w:rFonts w:hint="eastAsia" w:ascii="Times New Roman" w:hAnsi="Times New Roman" w:eastAsia="宋体"/>
          <w:bCs/>
          <w:color w:val="000000"/>
          <w:sz w:val="36"/>
          <w:szCs w:val="28"/>
          <w:lang w:eastAsia="zh-CN"/>
        </w:rPr>
        <w:t>体系</w:t>
      </w:r>
    </w:p>
    <w:tbl>
      <w:tblPr>
        <w:tblStyle w:val="7"/>
        <w:tblW w:w="1393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35"/>
        <w:gridCol w:w="765"/>
        <w:gridCol w:w="780"/>
        <w:gridCol w:w="630"/>
        <w:gridCol w:w="2385"/>
        <w:gridCol w:w="5310"/>
        <w:gridCol w:w="2763"/>
        <w:gridCol w:w="5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35"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5"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78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630" w:type="dxa"/>
            <w:shd w:val="clear" w:color="auto" w:fill="FFFFFF"/>
            <w:noWrap w:val="0"/>
            <w:vAlign w:val="top"/>
          </w:tcPr>
          <w:p>
            <w:pPr>
              <w:widowControl/>
              <w:spacing w:line="0" w:lineRule="atLeast"/>
              <w:jc w:val="center"/>
              <w:rPr>
                <w:b/>
                <w:bCs/>
                <w:color w:val="000000"/>
                <w:kern w:val="0"/>
                <w:sz w:val="22"/>
                <w:szCs w:val="22"/>
              </w:rPr>
            </w:pPr>
            <w:r>
              <w:rPr>
                <w:b/>
                <w:bCs/>
                <w:color w:val="000000"/>
                <w:kern w:val="0"/>
                <w:sz w:val="22"/>
                <w:szCs w:val="22"/>
              </w:rPr>
              <w:t>分</w:t>
            </w:r>
          </w:p>
          <w:p>
            <w:pPr>
              <w:widowControl/>
              <w:spacing w:line="0" w:lineRule="atLeast"/>
              <w:jc w:val="center"/>
              <w:rPr>
                <w:b/>
                <w:bCs/>
                <w:color w:val="000000"/>
                <w:kern w:val="0"/>
                <w:sz w:val="22"/>
                <w:szCs w:val="22"/>
              </w:rPr>
            </w:pPr>
            <w:r>
              <w:rPr>
                <w:b/>
                <w:bCs/>
                <w:color w:val="000000"/>
                <w:kern w:val="0"/>
                <w:sz w:val="22"/>
                <w:szCs w:val="22"/>
              </w:rPr>
              <w:t>值</w:t>
            </w:r>
          </w:p>
        </w:tc>
        <w:tc>
          <w:tcPr>
            <w:tcW w:w="2385"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310"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2763" w:type="dxa"/>
            <w:shd w:val="clear" w:color="auto" w:fill="FFFFFF"/>
            <w:noWrap w:val="0"/>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lang w:eastAsia="zh-CN"/>
              </w:rPr>
              <w:t>评分标准</w:t>
            </w:r>
          </w:p>
        </w:tc>
        <w:tc>
          <w:tcPr>
            <w:tcW w:w="566" w:type="dxa"/>
            <w:shd w:val="clear" w:color="auto" w:fill="FFFFFF"/>
            <w:noWrap w:val="0"/>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735"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决策　</w:t>
            </w:r>
          </w:p>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　</w:t>
            </w:r>
          </w:p>
        </w:tc>
        <w:tc>
          <w:tcPr>
            <w:tcW w:w="765"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项目立项　</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310" w:type="dxa"/>
            <w:shd w:val="clear" w:color="auto" w:fill="FFFFFF"/>
            <w:noWrap w:val="0"/>
            <w:vAlign w:val="center"/>
          </w:tcPr>
          <w:p>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pPr>
              <w:widowControl/>
              <w:spacing w:line="0" w:lineRule="atLeast"/>
              <w:jc w:val="left"/>
              <w:rPr>
                <w:rFonts w:hint="eastAsia" w:eastAsia="宋体"/>
                <w:color w:val="000000"/>
                <w:kern w:val="0"/>
                <w:sz w:val="22"/>
                <w:szCs w:val="22"/>
                <w:lang w:eastAsia="zh-CN"/>
              </w:rPr>
            </w:pPr>
            <w:r>
              <w:rPr>
                <w:color w:val="000000"/>
                <w:kern w:val="0"/>
                <w:sz w:val="22"/>
                <w:szCs w:val="22"/>
              </w:rPr>
              <w:t>①项目立项是否符合国家法律法规、国民经济发展规划和相关政策；</w:t>
            </w:r>
          </w:p>
          <w:p>
            <w:pPr>
              <w:widowControl/>
              <w:spacing w:line="0" w:lineRule="atLeast"/>
              <w:jc w:val="left"/>
              <w:rPr>
                <w:rFonts w:hint="eastAsia" w:eastAsia="宋体"/>
                <w:color w:val="000000"/>
                <w:kern w:val="0"/>
                <w:sz w:val="22"/>
                <w:szCs w:val="22"/>
                <w:lang w:eastAsia="zh-CN"/>
              </w:rPr>
            </w:pPr>
            <w:r>
              <w:rPr>
                <w:color w:val="000000"/>
                <w:kern w:val="0"/>
                <w:sz w:val="22"/>
                <w:szCs w:val="22"/>
              </w:rPr>
              <w:t>②项目立项是否符合行业发展规划和政策要求；</w:t>
            </w:r>
          </w:p>
          <w:p>
            <w:pPr>
              <w:widowControl/>
              <w:spacing w:line="0" w:lineRule="atLeast"/>
              <w:jc w:val="left"/>
              <w:rPr>
                <w:rFonts w:hint="eastAsia" w:eastAsia="宋体"/>
                <w:color w:val="000000"/>
                <w:kern w:val="0"/>
                <w:sz w:val="22"/>
                <w:szCs w:val="22"/>
                <w:lang w:eastAsia="zh-CN"/>
              </w:rPr>
            </w:pPr>
            <w:r>
              <w:rPr>
                <w:color w:val="000000"/>
                <w:kern w:val="0"/>
                <w:sz w:val="22"/>
                <w:szCs w:val="22"/>
              </w:rPr>
              <w:t>③项目立项是否与部门职责范围相符，属于部门履职所需；</w:t>
            </w:r>
          </w:p>
          <w:p>
            <w:pPr>
              <w:widowControl/>
              <w:spacing w:line="0" w:lineRule="atLeast"/>
              <w:jc w:val="left"/>
              <w:rPr>
                <w:rFonts w:hint="eastAsia" w:eastAsia="宋体"/>
                <w:color w:val="000000"/>
                <w:kern w:val="0"/>
                <w:sz w:val="22"/>
                <w:szCs w:val="22"/>
                <w:lang w:eastAsia="zh-CN"/>
              </w:rPr>
            </w:pPr>
            <w:r>
              <w:rPr>
                <w:color w:val="000000"/>
                <w:kern w:val="0"/>
                <w:sz w:val="22"/>
                <w:szCs w:val="22"/>
              </w:rPr>
              <w:t>④项目是否属于公共财政支持范围，是否符合中央、地方事权支出责任划分原则；</w:t>
            </w:r>
          </w:p>
          <w:p>
            <w:pPr>
              <w:widowControl/>
              <w:spacing w:line="0" w:lineRule="atLeast"/>
              <w:jc w:val="left"/>
              <w:rPr>
                <w:color w:val="000000"/>
                <w:kern w:val="0"/>
                <w:sz w:val="22"/>
                <w:szCs w:val="22"/>
              </w:rPr>
            </w:pPr>
            <w:r>
              <w:rPr>
                <w:color w:val="000000"/>
                <w:kern w:val="0"/>
                <w:sz w:val="22"/>
                <w:szCs w:val="22"/>
              </w:rPr>
              <w:t>⑤项目是否与相关部门同类项目或部门内部相关项目重复。</w:t>
            </w:r>
          </w:p>
        </w:tc>
        <w:tc>
          <w:tcPr>
            <w:tcW w:w="2763"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rPr>
              <w:t>项目立项符合法律法规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、相关政策</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符合</w:t>
            </w:r>
            <w:r>
              <w:rPr>
                <w:rFonts w:ascii="Times New Roman" w:hAnsi="Times New Roman"/>
                <w:color w:val="000000"/>
                <w:kern w:val="0"/>
                <w:sz w:val="22"/>
              </w:rPr>
              <w:t>发展规划</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1分，不符合不得分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10" w:hRule="atLeast"/>
          <w:jc w:val="center"/>
        </w:trPr>
        <w:tc>
          <w:tcPr>
            <w:tcW w:w="735" w:type="dxa"/>
            <w:vMerge w:val="continue"/>
            <w:shd w:val="clear" w:color="auto" w:fill="FFFFFF"/>
            <w:noWrap w:val="0"/>
            <w:vAlign w:val="center"/>
          </w:tcPr>
          <w:p>
            <w:pPr>
              <w:spacing w:line="0" w:lineRule="atLeast"/>
              <w:jc w:val="center"/>
              <w:rPr>
                <w:color w:val="000000"/>
                <w:kern w:val="0"/>
                <w:sz w:val="22"/>
                <w:szCs w:val="22"/>
              </w:rPr>
            </w:pPr>
          </w:p>
        </w:tc>
        <w:tc>
          <w:tcPr>
            <w:tcW w:w="765" w:type="dxa"/>
            <w:vMerge w:val="continue"/>
            <w:shd w:val="clear" w:color="auto" w:fill="FFFFFF"/>
            <w:noWrap w:val="0"/>
            <w:vAlign w:val="center"/>
          </w:tcPr>
          <w:p>
            <w:pPr>
              <w:widowControl/>
              <w:spacing w:line="0" w:lineRule="atLeast"/>
              <w:jc w:val="center"/>
              <w:rPr>
                <w:color w:val="000000"/>
                <w:kern w:val="0"/>
                <w:sz w:val="22"/>
                <w:szCs w:val="22"/>
              </w:rPr>
            </w:pP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3</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310" w:type="dxa"/>
            <w:shd w:val="clear" w:color="auto" w:fill="FFFFFF"/>
            <w:noWrap w:val="0"/>
            <w:vAlign w:val="center"/>
          </w:tcPr>
          <w:p>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pPr>
              <w:widowControl/>
              <w:spacing w:line="0" w:lineRule="atLeast"/>
              <w:jc w:val="left"/>
              <w:rPr>
                <w:rFonts w:hint="eastAsia" w:eastAsia="宋体"/>
                <w:color w:val="000000"/>
                <w:kern w:val="0"/>
                <w:sz w:val="22"/>
                <w:szCs w:val="22"/>
                <w:lang w:eastAsia="zh-CN"/>
              </w:rPr>
            </w:pPr>
            <w:r>
              <w:rPr>
                <w:color w:val="000000"/>
                <w:kern w:val="0"/>
                <w:sz w:val="22"/>
                <w:szCs w:val="22"/>
              </w:rPr>
              <w:t>①项目是否按照规定的程序申请设立；</w:t>
            </w:r>
          </w:p>
          <w:p>
            <w:pPr>
              <w:widowControl/>
              <w:spacing w:line="0" w:lineRule="atLeast"/>
              <w:jc w:val="left"/>
              <w:rPr>
                <w:rFonts w:hint="eastAsia" w:eastAsia="宋体"/>
                <w:color w:val="000000"/>
                <w:kern w:val="0"/>
                <w:sz w:val="22"/>
                <w:szCs w:val="22"/>
                <w:lang w:eastAsia="zh-CN"/>
              </w:rPr>
            </w:pPr>
            <w:r>
              <w:rPr>
                <w:color w:val="000000"/>
                <w:kern w:val="0"/>
                <w:sz w:val="22"/>
                <w:szCs w:val="22"/>
              </w:rPr>
              <w:t>②审批文件、材料是否符合相关要求；</w:t>
            </w:r>
          </w:p>
          <w:p>
            <w:pPr>
              <w:widowControl/>
              <w:spacing w:line="0" w:lineRule="atLeast"/>
              <w:jc w:val="left"/>
              <w:rPr>
                <w:color w:val="000000"/>
                <w:kern w:val="0"/>
                <w:sz w:val="22"/>
                <w:szCs w:val="22"/>
              </w:rPr>
            </w:pPr>
            <w:r>
              <w:rPr>
                <w:color w:val="000000"/>
                <w:kern w:val="0"/>
                <w:sz w:val="22"/>
                <w:szCs w:val="22"/>
              </w:rPr>
              <w:t>③事前是否已经过必要的可行性研究、专家论证、风险评估、绩效评估、集体决策。</w:t>
            </w:r>
          </w:p>
        </w:tc>
        <w:tc>
          <w:tcPr>
            <w:tcW w:w="2763"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rPr>
              <w:t>项目申请符合相关要求</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、设立过程</w:t>
            </w:r>
            <w:r>
              <w:rPr>
                <w:rFonts w:hint="eastAsia" w:ascii="Times New Roman" w:hAnsi="Times New Roman"/>
                <w:color w:val="000000"/>
                <w:kern w:val="0"/>
                <w:sz w:val="22"/>
                <w:lang w:eastAsia="zh-CN"/>
              </w:rPr>
              <w:t>符合要求得</w:t>
            </w:r>
            <w:r>
              <w:rPr>
                <w:rFonts w:hint="eastAsia" w:ascii="Times New Roman" w:hAnsi="Times New Roman"/>
                <w:color w:val="000000"/>
                <w:kern w:val="0"/>
                <w:sz w:val="22"/>
                <w:lang w:val="en-US" w:eastAsia="zh-CN"/>
              </w:rPr>
              <w:t>1分，不符合不得分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29" w:hRule="atLeast"/>
          <w:jc w:val="center"/>
        </w:trPr>
        <w:tc>
          <w:tcPr>
            <w:tcW w:w="735" w:type="dxa"/>
            <w:vMerge w:val="continue"/>
            <w:shd w:val="clear" w:color="auto" w:fill="FFFFFF"/>
            <w:noWrap w:val="0"/>
            <w:vAlign w:val="center"/>
          </w:tcPr>
          <w:p>
            <w:pPr>
              <w:spacing w:line="0" w:lineRule="atLeast"/>
              <w:jc w:val="center"/>
              <w:rPr>
                <w:color w:val="000000"/>
                <w:kern w:val="0"/>
                <w:sz w:val="22"/>
                <w:szCs w:val="22"/>
              </w:rPr>
            </w:pPr>
          </w:p>
        </w:tc>
        <w:tc>
          <w:tcPr>
            <w:tcW w:w="765"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绩效目标　</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310" w:type="dxa"/>
            <w:shd w:val="clear" w:color="auto" w:fill="FFFFFF"/>
            <w:noWrap w:val="0"/>
            <w:vAlign w:val="center"/>
          </w:tcPr>
          <w:p>
            <w:pPr>
              <w:widowControl/>
              <w:spacing w:line="0" w:lineRule="atLeast"/>
              <w:jc w:val="left"/>
              <w:rPr>
                <w:rFonts w:hint="eastAsia" w:eastAsia="宋体"/>
                <w:color w:val="000000"/>
                <w:kern w:val="0"/>
                <w:sz w:val="22"/>
                <w:szCs w:val="22"/>
                <w:lang w:eastAsia="zh-CN"/>
              </w:rPr>
            </w:pPr>
            <w:r>
              <w:rPr>
                <w:color w:val="000000"/>
                <w:kern w:val="0"/>
                <w:sz w:val="22"/>
                <w:szCs w:val="22"/>
              </w:rPr>
              <w:t>评价要点：</w:t>
            </w:r>
          </w:p>
          <w:p>
            <w:pPr>
              <w:widowControl/>
              <w:spacing w:line="0" w:lineRule="atLeast"/>
              <w:jc w:val="left"/>
              <w:rPr>
                <w:rFonts w:hint="eastAsia" w:eastAsia="宋体"/>
                <w:color w:val="000000"/>
                <w:kern w:val="0"/>
                <w:sz w:val="22"/>
                <w:szCs w:val="22"/>
                <w:lang w:eastAsia="zh-CN"/>
              </w:rPr>
            </w:pPr>
            <w:r>
              <w:rPr>
                <w:color w:val="000000"/>
                <w:kern w:val="0"/>
                <w:sz w:val="22"/>
                <w:szCs w:val="22"/>
              </w:rPr>
              <w:t>（如未设定预算绩效目标，也可考核其他工作任务目标）</w:t>
            </w:r>
          </w:p>
          <w:p>
            <w:pPr>
              <w:widowControl/>
              <w:spacing w:line="0" w:lineRule="atLeast"/>
              <w:jc w:val="left"/>
              <w:rPr>
                <w:rFonts w:hint="eastAsia" w:eastAsia="宋体"/>
                <w:color w:val="000000"/>
                <w:kern w:val="0"/>
                <w:sz w:val="22"/>
                <w:szCs w:val="22"/>
                <w:lang w:eastAsia="zh-CN"/>
              </w:rPr>
            </w:pPr>
            <w:r>
              <w:rPr>
                <w:color w:val="000000"/>
                <w:kern w:val="0"/>
                <w:sz w:val="22"/>
                <w:szCs w:val="22"/>
              </w:rPr>
              <w:t>①项目是否有绩效目标；</w:t>
            </w:r>
          </w:p>
          <w:p>
            <w:pPr>
              <w:widowControl/>
              <w:spacing w:line="0" w:lineRule="atLeast"/>
              <w:jc w:val="left"/>
              <w:rPr>
                <w:rFonts w:hint="eastAsia" w:eastAsia="宋体"/>
                <w:color w:val="000000"/>
                <w:kern w:val="0"/>
                <w:sz w:val="22"/>
                <w:szCs w:val="22"/>
                <w:lang w:eastAsia="zh-CN"/>
              </w:rPr>
            </w:pPr>
            <w:r>
              <w:rPr>
                <w:color w:val="000000"/>
                <w:kern w:val="0"/>
                <w:sz w:val="22"/>
                <w:szCs w:val="22"/>
              </w:rPr>
              <w:t>②项目绩效目标与实际工作内容是否具有相关性；</w:t>
            </w:r>
          </w:p>
          <w:p>
            <w:pPr>
              <w:widowControl/>
              <w:spacing w:line="0" w:lineRule="atLeast"/>
              <w:jc w:val="left"/>
              <w:rPr>
                <w:color w:val="000000"/>
                <w:kern w:val="0"/>
                <w:sz w:val="22"/>
                <w:szCs w:val="22"/>
              </w:rPr>
            </w:pP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2763"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项目有绩效目</w:t>
            </w:r>
            <w:r>
              <w:rPr>
                <w:rFonts w:hint="eastAsia" w:ascii="Times New Roman" w:hAnsi="Times New Roman"/>
                <w:color w:val="000000"/>
                <w:kern w:val="0"/>
                <w:sz w:val="22"/>
                <w:lang w:eastAsia="zh-CN"/>
              </w:rPr>
              <w:t>标得</w:t>
            </w:r>
            <w:r>
              <w:rPr>
                <w:rFonts w:hint="eastAsia" w:ascii="Times New Roman" w:hAnsi="Times New Roman"/>
                <w:color w:val="000000"/>
                <w:kern w:val="0"/>
                <w:sz w:val="22"/>
                <w:lang w:val="en-US" w:eastAsia="zh-CN"/>
              </w:rPr>
              <w:t>1分，</w:t>
            </w:r>
            <w:r>
              <w:rPr>
                <w:rFonts w:ascii="Times New Roman" w:hAnsi="Times New Roman"/>
                <w:color w:val="000000"/>
                <w:kern w:val="0"/>
                <w:sz w:val="22"/>
              </w:rPr>
              <w:t>绩效目标依据充分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p>
          <w:p>
            <w:pPr>
              <w:widowControl/>
              <w:spacing w:line="0" w:lineRule="atLeast"/>
              <w:jc w:val="center"/>
              <w:rPr>
                <w:rFonts w:hint="eastAsia"/>
                <w:color w:val="000000"/>
                <w:kern w:val="0"/>
                <w:sz w:val="22"/>
                <w:szCs w:val="22"/>
              </w:rPr>
            </w:pPr>
            <w:r>
              <w:rPr>
                <w:rFonts w:ascii="Times New Roman" w:hAnsi="Times New Roman"/>
                <w:color w:val="000000"/>
                <w:kern w:val="0"/>
                <w:sz w:val="22"/>
              </w:rPr>
              <w:t>符合客观实际</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1分，与资金量相匹配得1分，缺一项扣1分</w:t>
            </w:r>
          </w:p>
        </w:tc>
        <w:tc>
          <w:tcPr>
            <w:tcW w:w="566" w:type="dxa"/>
            <w:shd w:val="clear" w:color="auto" w:fill="FFFFFF"/>
            <w:noWrap w:val="0"/>
            <w:vAlign w:val="center"/>
          </w:tcPr>
          <w:p>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735"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决策　</w:t>
            </w:r>
          </w:p>
        </w:tc>
        <w:tc>
          <w:tcPr>
            <w:tcW w:w="765"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绩效目标</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310"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①是否将项目绩效目标细化分解为具体的绩效指标；</w:t>
            </w:r>
          </w:p>
          <w:p>
            <w:pPr>
              <w:widowControl/>
              <w:spacing w:line="0" w:lineRule="atLeast"/>
              <w:rPr>
                <w:rFonts w:hint="eastAsia" w:eastAsia="宋体"/>
                <w:color w:val="000000"/>
                <w:kern w:val="0"/>
                <w:sz w:val="22"/>
                <w:szCs w:val="22"/>
                <w:lang w:eastAsia="zh-CN"/>
              </w:rPr>
            </w:pPr>
            <w:r>
              <w:rPr>
                <w:color w:val="000000"/>
                <w:kern w:val="0"/>
                <w:sz w:val="22"/>
                <w:szCs w:val="22"/>
              </w:rPr>
              <w:t>②是否通过清晰、可衡量的指标值予以体现；</w:t>
            </w:r>
          </w:p>
          <w:p>
            <w:pPr>
              <w:widowControl/>
              <w:spacing w:line="0" w:lineRule="atLeast"/>
              <w:rPr>
                <w:rFonts w:hint="eastAsia" w:eastAsia="宋体"/>
                <w:color w:val="000000"/>
                <w:kern w:val="0"/>
                <w:sz w:val="22"/>
                <w:szCs w:val="22"/>
                <w:lang w:eastAsia="zh-CN"/>
              </w:rPr>
            </w:pPr>
            <w:r>
              <w:rPr>
                <w:color w:val="000000"/>
                <w:kern w:val="0"/>
                <w:sz w:val="22"/>
                <w:szCs w:val="22"/>
              </w:rPr>
              <w:t>③是否与项目目标任务数或计划数相对应。</w:t>
            </w:r>
          </w:p>
          <w:p>
            <w:pPr>
              <w:widowControl/>
              <w:spacing w:line="0" w:lineRule="atLeast"/>
              <w:rPr>
                <w:rFonts w:hint="eastAsia" w:eastAsia="宋体"/>
                <w:color w:val="000000"/>
                <w:kern w:val="0"/>
                <w:sz w:val="22"/>
                <w:szCs w:val="22"/>
                <w:lang w:eastAsia="zh-CN"/>
              </w:rPr>
            </w:pPr>
          </w:p>
        </w:tc>
        <w:tc>
          <w:tcPr>
            <w:tcW w:w="2763"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将项目绩效目标细化分解为具体的绩效指标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2分，指标值清晰得2分缺一项扣2分</w:t>
            </w:r>
          </w:p>
          <w:p>
            <w:pPr>
              <w:widowControl/>
              <w:spacing w:line="0" w:lineRule="atLeast"/>
              <w:jc w:val="center"/>
              <w:rPr>
                <w:rFonts w:hint="eastAsia" w:ascii="Times New Roman" w:hAnsi="Times New Roman" w:eastAsia="宋体"/>
                <w:color w:val="000000"/>
                <w:kern w:val="0"/>
                <w:sz w:val="22"/>
                <w:lang w:val="en-US" w:eastAsia="zh-CN"/>
              </w:rPr>
            </w:pPr>
          </w:p>
        </w:tc>
        <w:tc>
          <w:tcPr>
            <w:tcW w:w="566" w:type="dxa"/>
            <w:shd w:val="clear" w:color="auto" w:fill="FFFFFF"/>
            <w:noWrap w:val="0"/>
            <w:vAlign w:val="center"/>
          </w:tcPr>
          <w:p>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735" w:type="dxa"/>
            <w:vMerge w:val="continue"/>
            <w:shd w:val="clear" w:color="auto" w:fill="FFFFFF"/>
            <w:noWrap w:val="0"/>
            <w:vAlign w:val="center"/>
          </w:tcPr>
          <w:p>
            <w:pPr>
              <w:spacing w:line="0" w:lineRule="atLeast"/>
              <w:jc w:val="center"/>
              <w:rPr>
                <w:color w:val="000000"/>
                <w:kern w:val="0"/>
                <w:sz w:val="22"/>
                <w:szCs w:val="22"/>
              </w:rPr>
            </w:pPr>
          </w:p>
        </w:tc>
        <w:tc>
          <w:tcPr>
            <w:tcW w:w="765"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3</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310"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①预算编制是否经过科学论证；</w:t>
            </w:r>
          </w:p>
          <w:p>
            <w:pPr>
              <w:widowControl/>
              <w:spacing w:line="0" w:lineRule="atLeast"/>
              <w:rPr>
                <w:rFonts w:hint="eastAsia" w:eastAsia="宋体"/>
                <w:color w:val="000000"/>
                <w:kern w:val="0"/>
                <w:sz w:val="22"/>
                <w:szCs w:val="22"/>
                <w:lang w:eastAsia="zh-CN"/>
              </w:rPr>
            </w:pPr>
            <w:r>
              <w:rPr>
                <w:color w:val="000000"/>
                <w:kern w:val="0"/>
                <w:sz w:val="22"/>
                <w:szCs w:val="22"/>
              </w:rPr>
              <w:t>②预算内容与项目内容是否匹配；</w:t>
            </w:r>
          </w:p>
          <w:p>
            <w:pPr>
              <w:widowControl/>
              <w:spacing w:line="0" w:lineRule="atLeast"/>
              <w:rPr>
                <w:rFonts w:hint="eastAsia" w:eastAsia="宋体"/>
                <w:color w:val="000000"/>
                <w:kern w:val="0"/>
                <w:sz w:val="22"/>
                <w:szCs w:val="22"/>
                <w:lang w:eastAsia="zh-CN"/>
              </w:rPr>
            </w:pPr>
            <w:r>
              <w:rPr>
                <w:color w:val="000000"/>
                <w:kern w:val="0"/>
                <w:sz w:val="22"/>
                <w:szCs w:val="22"/>
              </w:rPr>
              <w:t>③预算额度测算依据是否充分，是否按照标准编制；</w:t>
            </w:r>
          </w:p>
          <w:p>
            <w:pPr>
              <w:widowControl/>
              <w:spacing w:line="0" w:lineRule="atLeast"/>
              <w:rPr>
                <w:color w:val="000000"/>
                <w:kern w:val="0"/>
                <w:sz w:val="22"/>
                <w:szCs w:val="22"/>
              </w:rPr>
            </w:pPr>
            <w:r>
              <w:rPr>
                <w:color w:val="000000"/>
                <w:kern w:val="0"/>
                <w:sz w:val="22"/>
                <w:szCs w:val="22"/>
              </w:rPr>
              <w:t>④预算确定的项目投资额或资金量是否与工作任务相匹配。</w:t>
            </w:r>
          </w:p>
        </w:tc>
        <w:tc>
          <w:tcPr>
            <w:tcW w:w="2763" w:type="dxa"/>
            <w:shd w:val="clear" w:color="auto" w:fill="FFFFFF"/>
            <w:noWrap w:val="0"/>
            <w:vAlign w:val="center"/>
          </w:tcPr>
          <w:p>
            <w:pPr>
              <w:widowControl/>
              <w:spacing w:line="0" w:lineRule="atLeast"/>
              <w:jc w:val="center"/>
              <w:rPr>
                <w:rFonts w:hint="eastAsia"/>
                <w:color w:val="000000"/>
                <w:kern w:val="0"/>
                <w:sz w:val="22"/>
                <w:szCs w:val="22"/>
                <w:lang w:val="en-US" w:eastAsia="zh-CN"/>
              </w:rPr>
            </w:pPr>
            <w:r>
              <w:rPr>
                <w:rFonts w:ascii="Times New Roman" w:hAnsi="Times New Roman"/>
                <w:color w:val="000000"/>
                <w:kern w:val="0"/>
                <w:sz w:val="22"/>
              </w:rPr>
              <w:t>预算编制经过科学论证</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1分，内容与项目匹配1分，按照标准编制得0.5分，资金与工作任务匹配0.5分，缺项对应项不得分</w:t>
            </w:r>
          </w:p>
        </w:tc>
        <w:tc>
          <w:tcPr>
            <w:tcW w:w="566" w:type="dxa"/>
            <w:shd w:val="clear" w:color="auto" w:fill="FFFFFF"/>
            <w:noWrap w:val="0"/>
            <w:vAlign w:val="center"/>
          </w:tcPr>
          <w:p>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35" w:type="dxa"/>
            <w:vMerge w:val="continue"/>
            <w:shd w:val="clear" w:color="auto" w:fill="FFFFFF"/>
            <w:noWrap w:val="0"/>
            <w:vAlign w:val="center"/>
          </w:tcPr>
          <w:p>
            <w:pPr>
              <w:widowControl/>
              <w:spacing w:line="0" w:lineRule="atLeast"/>
              <w:jc w:val="center"/>
              <w:rPr>
                <w:color w:val="000000"/>
                <w:kern w:val="0"/>
                <w:sz w:val="22"/>
                <w:szCs w:val="22"/>
              </w:rPr>
            </w:pPr>
          </w:p>
        </w:tc>
        <w:tc>
          <w:tcPr>
            <w:tcW w:w="765" w:type="dxa"/>
            <w:vMerge w:val="continue"/>
            <w:shd w:val="clear" w:color="auto" w:fill="FFFFFF"/>
            <w:noWrap w:val="0"/>
            <w:vAlign w:val="center"/>
          </w:tcPr>
          <w:p>
            <w:pPr>
              <w:widowControl/>
              <w:spacing w:line="0" w:lineRule="atLeast"/>
              <w:jc w:val="center"/>
              <w:rPr>
                <w:color w:val="000000"/>
                <w:kern w:val="0"/>
                <w:sz w:val="22"/>
                <w:szCs w:val="22"/>
              </w:rPr>
            </w:pP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3</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310"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①预算资金分配依据是否充分；</w:t>
            </w:r>
          </w:p>
          <w:p>
            <w:pPr>
              <w:widowControl/>
              <w:spacing w:line="0" w:lineRule="atLeast"/>
              <w:rPr>
                <w:color w:val="000000"/>
                <w:kern w:val="0"/>
                <w:sz w:val="22"/>
                <w:szCs w:val="22"/>
              </w:rPr>
            </w:pPr>
            <w:r>
              <w:rPr>
                <w:color w:val="000000"/>
                <w:kern w:val="0"/>
                <w:sz w:val="22"/>
                <w:szCs w:val="22"/>
              </w:rPr>
              <w:t>②资金分配额度是否合理，与项目单位或地方实际是否相适应。</w:t>
            </w:r>
          </w:p>
        </w:tc>
        <w:tc>
          <w:tcPr>
            <w:tcW w:w="2763"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rPr>
              <w:t>预算资金分配依据充分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资金分配额度合理</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35" w:type="dxa"/>
            <w:vMerge w:val="restart"/>
            <w:shd w:val="clear" w:color="auto" w:fill="FFFFFF"/>
            <w:noWrap w:val="0"/>
            <w:vAlign w:val="center"/>
          </w:tcPr>
          <w:p>
            <w:pPr>
              <w:spacing w:line="0" w:lineRule="atLeast"/>
              <w:jc w:val="center"/>
              <w:rPr>
                <w:color w:val="000000"/>
                <w:kern w:val="0"/>
                <w:sz w:val="22"/>
                <w:szCs w:val="22"/>
              </w:rPr>
            </w:pPr>
            <w:r>
              <w:rPr>
                <w:color w:val="000000"/>
                <w:kern w:val="0"/>
                <w:sz w:val="22"/>
                <w:szCs w:val="22"/>
              </w:rPr>
              <w:t>过程</w:t>
            </w:r>
          </w:p>
        </w:tc>
        <w:tc>
          <w:tcPr>
            <w:tcW w:w="765"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资金管理</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资金到位率</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3</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31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2763"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rPr>
              <w:t>资金到位率</w:t>
            </w:r>
            <w:r>
              <w:rPr>
                <w:rFonts w:hint="eastAsia" w:ascii="Times New Roman" w:hAnsi="Times New Roman"/>
                <w:color w:val="000000"/>
                <w:kern w:val="0"/>
                <w:sz w:val="22"/>
                <w:lang w:val="en-US" w:eastAsia="zh-CN"/>
              </w:rPr>
              <w:t>100%得3分，每减少5%扣1分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735" w:type="dxa"/>
            <w:vMerge w:val="continue"/>
            <w:shd w:val="clear" w:color="auto" w:fill="FFFFFF"/>
            <w:noWrap w:val="0"/>
            <w:vAlign w:val="center"/>
          </w:tcPr>
          <w:p>
            <w:pPr>
              <w:spacing w:line="0" w:lineRule="atLeast"/>
              <w:jc w:val="center"/>
              <w:rPr>
                <w:color w:val="000000"/>
                <w:kern w:val="0"/>
                <w:sz w:val="22"/>
                <w:szCs w:val="22"/>
              </w:rPr>
            </w:pPr>
          </w:p>
        </w:tc>
        <w:tc>
          <w:tcPr>
            <w:tcW w:w="765" w:type="dxa"/>
            <w:vMerge w:val="continue"/>
            <w:shd w:val="clear" w:color="auto" w:fill="FFFFFF"/>
            <w:noWrap w:val="0"/>
            <w:vAlign w:val="center"/>
          </w:tcPr>
          <w:p>
            <w:pPr>
              <w:spacing w:line="0" w:lineRule="atLeast"/>
              <w:jc w:val="center"/>
              <w:rPr>
                <w:color w:val="000000"/>
                <w:kern w:val="0"/>
                <w:sz w:val="22"/>
                <w:szCs w:val="22"/>
              </w:rPr>
            </w:pP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预算执行率</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310"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预算执行率=（实际支出资金/实际到位资金）×100%。</w:t>
            </w:r>
          </w:p>
          <w:p>
            <w:pPr>
              <w:widowControl/>
              <w:spacing w:line="0" w:lineRule="atLeast"/>
              <w:rPr>
                <w:color w:val="000000"/>
                <w:kern w:val="0"/>
                <w:sz w:val="22"/>
                <w:szCs w:val="22"/>
              </w:rPr>
            </w:pPr>
            <w:r>
              <w:rPr>
                <w:color w:val="000000"/>
                <w:kern w:val="0"/>
                <w:sz w:val="22"/>
                <w:szCs w:val="22"/>
              </w:rPr>
              <w:t>实际支出资金：一定时期（本年度或项目期）内项目实际拨付的资金。</w:t>
            </w:r>
          </w:p>
        </w:tc>
        <w:tc>
          <w:tcPr>
            <w:tcW w:w="2763" w:type="dxa"/>
            <w:shd w:val="clear" w:color="auto" w:fill="FFFFFF"/>
            <w:noWrap w:val="0"/>
            <w:vAlign w:val="center"/>
          </w:tcPr>
          <w:p>
            <w:pPr>
              <w:widowControl/>
              <w:spacing w:line="0" w:lineRule="atLeast"/>
              <w:jc w:val="center"/>
              <w:rPr>
                <w:rFonts w:hint="eastAsia"/>
                <w:color w:val="000000"/>
                <w:kern w:val="0"/>
                <w:sz w:val="22"/>
                <w:szCs w:val="22"/>
                <w:lang w:val="en-US" w:eastAsia="zh-CN"/>
              </w:rPr>
            </w:pPr>
            <w:r>
              <w:rPr>
                <w:rFonts w:ascii="Times New Roman" w:hAnsi="Times New Roman"/>
                <w:color w:val="000000"/>
                <w:kern w:val="0"/>
                <w:sz w:val="22"/>
              </w:rPr>
              <w:t>预算执行率</w:t>
            </w:r>
            <w:r>
              <w:rPr>
                <w:rFonts w:hint="eastAsia" w:ascii="Times New Roman" w:hAnsi="Times New Roman"/>
                <w:color w:val="000000"/>
                <w:kern w:val="0"/>
                <w:sz w:val="22"/>
                <w:lang w:val="en-US" w:eastAsia="zh-CN"/>
              </w:rPr>
              <w:t>100%得4分每减少5%扣1分</w:t>
            </w:r>
          </w:p>
        </w:tc>
        <w:tc>
          <w:tcPr>
            <w:tcW w:w="566" w:type="dxa"/>
            <w:shd w:val="clear" w:color="auto" w:fill="FFFFFF"/>
            <w:noWrap w:val="0"/>
            <w:vAlign w:val="center"/>
          </w:tcPr>
          <w:p>
            <w:pPr>
              <w:widowControl/>
              <w:spacing w:line="0" w:lineRule="atLeast"/>
              <w:jc w:val="center"/>
              <w:rPr>
                <w:rFonts w:hint="default" w:eastAsia="宋体"/>
                <w:color w:val="000000"/>
                <w:kern w:val="0"/>
                <w:sz w:val="22"/>
                <w:szCs w:val="22"/>
                <w:lang w:val="en-US" w:eastAsia="zh-CN"/>
              </w:rPr>
            </w:pPr>
            <w:r>
              <w:rPr>
                <w:rFonts w:hint="eastAsia"/>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35"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　</w:t>
            </w:r>
          </w:p>
          <w:p>
            <w:pPr>
              <w:spacing w:line="0" w:lineRule="atLeast"/>
              <w:jc w:val="center"/>
              <w:rPr>
                <w:color w:val="000000"/>
                <w:kern w:val="0"/>
                <w:sz w:val="22"/>
                <w:szCs w:val="22"/>
              </w:rPr>
            </w:pPr>
            <w:r>
              <w:rPr>
                <w:color w:val="000000"/>
                <w:kern w:val="0"/>
                <w:sz w:val="22"/>
                <w:szCs w:val="22"/>
              </w:rPr>
              <w:t>过程　</w:t>
            </w:r>
          </w:p>
        </w:tc>
        <w:tc>
          <w:tcPr>
            <w:tcW w:w="765"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资金管理</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310"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①是否符合国家财经法规和财务管理制度以及有关专项资金管理办法的规定；</w:t>
            </w:r>
          </w:p>
          <w:p>
            <w:pPr>
              <w:widowControl/>
              <w:spacing w:line="0" w:lineRule="atLeast"/>
              <w:rPr>
                <w:rFonts w:hint="eastAsia" w:eastAsia="宋体"/>
                <w:color w:val="000000"/>
                <w:kern w:val="0"/>
                <w:sz w:val="22"/>
                <w:szCs w:val="22"/>
                <w:lang w:eastAsia="zh-CN"/>
              </w:rPr>
            </w:pPr>
            <w:r>
              <w:rPr>
                <w:color w:val="000000"/>
                <w:kern w:val="0"/>
                <w:sz w:val="22"/>
                <w:szCs w:val="22"/>
              </w:rPr>
              <w:t>②资金的拨付是否有完整的审批程序和手续；</w:t>
            </w:r>
          </w:p>
          <w:p>
            <w:pPr>
              <w:widowControl/>
              <w:spacing w:line="0" w:lineRule="atLeast"/>
              <w:rPr>
                <w:rFonts w:hint="eastAsia" w:eastAsia="宋体"/>
                <w:color w:val="000000"/>
                <w:kern w:val="0"/>
                <w:sz w:val="22"/>
                <w:szCs w:val="22"/>
                <w:lang w:eastAsia="zh-CN"/>
              </w:rPr>
            </w:pPr>
            <w:r>
              <w:rPr>
                <w:color w:val="000000"/>
                <w:kern w:val="0"/>
                <w:sz w:val="22"/>
                <w:szCs w:val="22"/>
              </w:rPr>
              <w:t>③是否符合项目预算批复或合同规定的用途；</w:t>
            </w:r>
          </w:p>
          <w:p>
            <w:pPr>
              <w:widowControl/>
              <w:spacing w:line="0" w:lineRule="atLeast"/>
              <w:rPr>
                <w:color w:val="000000"/>
                <w:kern w:val="0"/>
                <w:sz w:val="22"/>
                <w:szCs w:val="22"/>
              </w:rPr>
            </w:pPr>
            <w:r>
              <w:rPr>
                <w:color w:val="000000"/>
                <w:kern w:val="0"/>
                <w:sz w:val="22"/>
                <w:szCs w:val="22"/>
              </w:rPr>
              <w:t>④是否存在截留、挤占、挪用、虚列支出等情况。</w:t>
            </w:r>
          </w:p>
        </w:tc>
        <w:tc>
          <w:tcPr>
            <w:tcW w:w="2763" w:type="dxa"/>
            <w:shd w:val="clear" w:color="auto" w:fill="FFFFFF"/>
            <w:noWrap w:val="0"/>
            <w:vAlign w:val="center"/>
          </w:tcPr>
          <w:p>
            <w:pPr>
              <w:widowControl/>
              <w:spacing w:line="0" w:lineRule="atLeast"/>
              <w:jc w:val="center"/>
              <w:rPr>
                <w:rFonts w:hint="eastAsia"/>
                <w:color w:val="000000"/>
                <w:kern w:val="0"/>
                <w:sz w:val="22"/>
                <w:szCs w:val="22"/>
                <w:lang w:val="en-US" w:eastAsia="zh-CN"/>
              </w:rPr>
            </w:pPr>
            <w:r>
              <w:rPr>
                <w:rFonts w:ascii="Times New Roman" w:hAnsi="Times New Roman"/>
                <w:color w:val="000000"/>
                <w:kern w:val="0"/>
                <w:sz w:val="22"/>
              </w:rPr>
              <w:t>符合国家财经法规</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资金的拨付是否有完整的审批程序和手续</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符合项目预算批复规定的用途</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1分缺一项扣1分</w:t>
            </w:r>
          </w:p>
        </w:tc>
        <w:tc>
          <w:tcPr>
            <w:tcW w:w="566" w:type="dxa"/>
            <w:shd w:val="clear" w:color="auto" w:fill="FFFFFF"/>
            <w:noWrap w:val="0"/>
            <w:vAlign w:val="center"/>
          </w:tcPr>
          <w:p>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735" w:type="dxa"/>
            <w:vMerge w:val="continue"/>
            <w:shd w:val="clear" w:color="auto" w:fill="FFFFFF"/>
            <w:noWrap w:val="0"/>
            <w:vAlign w:val="center"/>
          </w:tcPr>
          <w:p>
            <w:pPr>
              <w:spacing w:line="0" w:lineRule="atLeast"/>
              <w:jc w:val="center"/>
              <w:rPr>
                <w:color w:val="000000"/>
                <w:kern w:val="0"/>
                <w:sz w:val="22"/>
                <w:szCs w:val="22"/>
              </w:rPr>
            </w:pPr>
          </w:p>
        </w:tc>
        <w:tc>
          <w:tcPr>
            <w:tcW w:w="765"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310"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①是否已制定或具有相应的财务和业务管理制度；</w:t>
            </w:r>
          </w:p>
          <w:p>
            <w:pPr>
              <w:widowControl/>
              <w:spacing w:line="0" w:lineRule="atLeast"/>
              <w:rPr>
                <w:color w:val="000000"/>
                <w:kern w:val="0"/>
                <w:sz w:val="22"/>
                <w:szCs w:val="22"/>
              </w:rPr>
            </w:pPr>
            <w:r>
              <w:rPr>
                <w:color w:val="000000"/>
                <w:kern w:val="0"/>
                <w:sz w:val="22"/>
                <w:szCs w:val="22"/>
              </w:rPr>
              <w:t>②财务和业务管理制度是否合法、合规、完整。</w:t>
            </w:r>
          </w:p>
        </w:tc>
        <w:tc>
          <w:tcPr>
            <w:tcW w:w="2763" w:type="dxa"/>
            <w:shd w:val="clear" w:color="auto" w:fill="FFFFFF"/>
            <w:noWrap w:val="0"/>
            <w:vAlign w:val="center"/>
          </w:tcPr>
          <w:p>
            <w:pPr>
              <w:widowControl/>
              <w:spacing w:line="0" w:lineRule="atLeast"/>
              <w:jc w:val="center"/>
              <w:rPr>
                <w:rFonts w:hint="eastAsia" w:ascii="Times New Roman" w:hAnsi="Times New Roman" w:eastAsia="宋体"/>
                <w:color w:val="000000"/>
                <w:kern w:val="0"/>
                <w:sz w:val="22"/>
                <w:lang w:val="en-US" w:eastAsia="zh-CN"/>
              </w:rPr>
            </w:pPr>
            <w:r>
              <w:rPr>
                <w:rFonts w:ascii="Times New Roman" w:hAnsi="Times New Roman"/>
                <w:color w:val="000000"/>
                <w:kern w:val="0"/>
                <w:sz w:val="22"/>
              </w:rPr>
              <w:t>制定或具有相应的财务和业务管理制度</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w:t>
            </w:r>
            <w:r>
              <w:rPr>
                <w:rFonts w:ascii="Times New Roman" w:hAnsi="Times New Roman"/>
                <w:color w:val="000000"/>
                <w:kern w:val="0"/>
                <w:sz w:val="22"/>
              </w:rPr>
              <w:t>；制度是否合法、合规、完整</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2分缺一项扣1分</w:t>
            </w:r>
          </w:p>
          <w:p>
            <w:pPr>
              <w:widowControl/>
              <w:spacing w:line="0" w:lineRule="atLeast"/>
              <w:jc w:val="center"/>
              <w:rPr>
                <w:rFonts w:hint="eastAsia" w:ascii="Times New Roman" w:hAnsi="Times New Roman" w:eastAsia="宋体"/>
                <w:color w:val="000000"/>
                <w:kern w:val="0"/>
                <w:sz w:val="22"/>
                <w:lang w:val="en-US" w:eastAsia="zh-CN"/>
              </w:rPr>
            </w:pP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735" w:type="dxa"/>
            <w:vMerge w:val="continue"/>
            <w:shd w:val="clear" w:color="auto" w:fill="FFFFFF"/>
            <w:noWrap w:val="0"/>
            <w:vAlign w:val="center"/>
          </w:tcPr>
          <w:p>
            <w:pPr>
              <w:widowControl/>
              <w:spacing w:line="0" w:lineRule="atLeast"/>
              <w:jc w:val="center"/>
              <w:rPr>
                <w:color w:val="000000"/>
                <w:kern w:val="0"/>
                <w:sz w:val="22"/>
                <w:szCs w:val="22"/>
              </w:rPr>
            </w:pPr>
          </w:p>
        </w:tc>
        <w:tc>
          <w:tcPr>
            <w:tcW w:w="765" w:type="dxa"/>
            <w:vMerge w:val="continue"/>
            <w:shd w:val="clear" w:color="auto" w:fill="FFFFFF"/>
            <w:noWrap w:val="0"/>
            <w:vAlign w:val="center"/>
          </w:tcPr>
          <w:p>
            <w:pPr>
              <w:widowControl/>
              <w:spacing w:line="0" w:lineRule="atLeast"/>
              <w:jc w:val="center"/>
              <w:rPr>
                <w:color w:val="000000"/>
                <w:kern w:val="0"/>
                <w:sz w:val="22"/>
                <w:szCs w:val="22"/>
              </w:rPr>
            </w:pP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4</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310"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评价要点：</w:t>
            </w:r>
          </w:p>
          <w:p>
            <w:pPr>
              <w:widowControl/>
              <w:spacing w:line="0" w:lineRule="atLeast"/>
              <w:rPr>
                <w:rFonts w:hint="eastAsia" w:eastAsia="宋体"/>
                <w:color w:val="000000"/>
                <w:kern w:val="0"/>
                <w:sz w:val="22"/>
                <w:szCs w:val="22"/>
                <w:lang w:eastAsia="zh-CN"/>
              </w:rPr>
            </w:pPr>
            <w:r>
              <w:rPr>
                <w:color w:val="000000"/>
                <w:kern w:val="0"/>
                <w:sz w:val="22"/>
                <w:szCs w:val="22"/>
              </w:rPr>
              <w:t>①是否遵守相关法律法规和相关管理规定；</w:t>
            </w:r>
          </w:p>
          <w:p>
            <w:pPr>
              <w:widowControl/>
              <w:spacing w:line="0" w:lineRule="atLeast"/>
              <w:rPr>
                <w:rFonts w:hint="eastAsia" w:eastAsia="宋体"/>
                <w:color w:val="000000"/>
                <w:kern w:val="0"/>
                <w:sz w:val="22"/>
                <w:szCs w:val="22"/>
                <w:lang w:eastAsia="zh-CN"/>
              </w:rPr>
            </w:pPr>
            <w:r>
              <w:rPr>
                <w:color w:val="000000"/>
                <w:kern w:val="0"/>
                <w:sz w:val="22"/>
                <w:szCs w:val="22"/>
              </w:rPr>
              <w:t>②项目调整及支出调整手续是否完备；</w:t>
            </w:r>
          </w:p>
          <w:p>
            <w:pPr>
              <w:widowControl/>
              <w:spacing w:line="0" w:lineRule="atLeast"/>
              <w:rPr>
                <w:rFonts w:hint="eastAsia" w:eastAsia="宋体"/>
                <w:color w:val="000000"/>
                <w:kern w:val="0"/>
                <w:sz w:val="22"/>
                <w:szCs w:val="22"/>
                <w:lang w:eastAsia="zh-CN"/>
              </w:rPr>
            </w:pPr>
            <w:r>
              <w:rPr>
                <w:color w:val="000000"/>
                <w:kern w:val="0"/>
                <w:sz w:val="22"/>
                <w:szCs w:val="22"/>
              </w:rPr>
              <w:t>③项目合同书、验收报告、技术鉴定等资料是否齐全并及时归档；</w:t>
            </w:r>
          </w:p>
          <w:p>
            <w:pPr>
              <w:widowControl/>
              <w:spacing w:line="0" w:lineRule="atLeast"/>
              <w:rPr>
                <w:color w:val="000000"/>
                <w:kern w:val="0"/>
                <w:sz w:val="22"/>
                <w:szCs w:val="22"/>
              </w:rPr>
            </w:pPr>
            <w:r>
              <w:rPr>
                <w:color w:val="000000"/>
                <w:kern w:val="0"/>
                <w:sz w:val="22"/>
                <w:szCs w:val="22"/>
              </w:rPr>
              <w:t>④项目实施的人员条件、场地设备、信息支撑等是否落实到位。</w:t>
            </w:r>
          </w:p>
        </w:tc>
        <w:tc>
          <w:tcPr>
            <w:tcW w:w="2763" w:type="dxa"/>
            <w:shd w:val="clear" w:color="auto" w:fill="FFFFFF"/>
            <w:noWrap w:val="0"/>
            <w:vAlign w:val="center"/>
          </w:tcPr>
          <w:p>
            <w:pPr>
              <w:widowControl/>
              <w:spacing w:line="0" w:lineRule="atLeast"/>
              <w:jc w:val="center"/>
              <w:rPr>
                <w:rFonts w:hint="eastAsia"/>
                <w:color w:val="000000"/>
                <w:kern w:val="0"/>
                <w:sz w:val="22"/>
                <w:szCs w:val="22"/>
              </w:rPr>
            </w:pPr>
            <w:r>
              <w:rPr>
                <w:rFonts w:ascii="Times New Roman" w:hAnsi="Times New Roman"/>
                <w:color w:val="000000"/>
                <w:kern w:val="0"/>
                <w:sz w:val="22"/>
              </w:rPr>
              <w:t>遵守相关规定</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项目调整手续完备</w:t>
            </w:r>
            <w:r>
              <w:rPr>
                <w:rFonts w:hint="eastAsia" w:ascii="Times New Roman" w:hAnsi="Times New Roman"/>
                <w:color w:val="000000"/>
                <w:kern w:val="0"/>
                <w:sz w:val="22"/>
                <w:lang w:eastAsia="zh-CN"/>
              </w:rPr>
              <w:t>得</w:t>
            </w:r>
            <w:r>
              <w:rPr>
                <w:rFonts w:hint="eastAsia" w:ascii="Times New Roman" w:hAnsi="Times New Roman"/>
                <w:color w:val="000000"/>
                <w:kern w:val="0"/>
                <w:sz w:val="22"/>
                <w:lang w:val="en-US" w:eastAsia="zh-CN"/>
              </w:rPr>
              <w:t>1分</w:t>
            </w:r>
            <w:r>
              <w:rPr>
                <w:rFonts w:ascii="Times New Roman" w:hAnsi="Times New Roman"/>
                <w:color w:val="000000"/>
                <w:kern w:val="0"/>
                <w:sz w:val="22"/>
              </w:rPr>
              <w:t>；</w:t>
            </w:r>
            <w:r>
              <w:rPr>
                <w:rFonts w:hint="eastAsia" w:ascii="Times New Roman" w:hAnsi="Times New Roman"/>
                <w:color w:val="000000"/>
                <w:kern w:val="0"/>
                <w:sz w:val="22"/>
                <w:lang w:eastAsia="zh-CN"/>
              </w:rPr>
              <w:t>资料及时归档得</w:t>
            </w:r>
            <w:r>
              <w:rPr>
                <w:rFonts w:hint="eastAsia" w:ascii="Times New Roman" w:hAnsi="Times New Roman"/>
                <w:color w:val="000000"/>
                <w:kern w:val="0"/>
                <w:sz w:val="22"/>
                <w:lang w:val="en-US" w:eastAsia="zh-CN"/>
              </w:rPr>
              <w:t>1分，项目实施落实到位得1分，缺一项扣1分</w:t>
            </w:r>
          </w:p>
        </w:tc>
        <w:tc>
          <w:tcPr>
            <w:tcW w:w="566" w:type="dxa"/>
            <w:shd w:val="clear" w:color="auto" w:fill="FFFFFF"/>
            <w:noWrap w:val="0"/>
            <w:vAlign w:val="center"/>
          </w:tcPr>
          <w:p>
            <w:pPr>
              <w:widowControl/>
              <w:spacing w:line="0" w:lineRule="atLeast"/>
              <w:jc w:val="center"/>
              <w:rPr>
                <w:rFonts w:hint="eastAsia"/>
                <w:color w:val="000000"/>
                <w:kern w:val="0"/>
                <w:sz w:val="22"/>
                <w:szCs w:val="22"/>
              </w:rPr>
            </w:pPr>
            <w:r>
              <w:rPr>
                <w:rFonts w:hint="eastAsia"/>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735"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w:t>
            </w:r>
          </w:p>
        </w:tc>
        <w:tc>
          <w:tcPr>
            <w:tcW w:w="765"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产出数量</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实际完成率</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8</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310"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实际完成率=（实际产出数/计划产出数）×100%。</w:t>
            </w:r>
          </w:p>
          <w:p>
            <w:pPr>
              <w:widowControl/>
              <w:spacing w:line="0" w:lineRule="atLeast"/>
              <w:rPr>
                <w:rFonts w:hint="eastAsia" w:eastAsia="宋体"/>
                <w:color w:val="000000"/>
                <w:kern w:val="0"/>
                <w:sz w:val="22"/>
                <w:szCs w:val="22"/>
                <w:lang w:eastAsia="zh-CN"/>
              </w:rPr>
            </w:pPr>
            <w:r>
              <w:rPr>
                <w:color w:val="000000"/>
                <w:kern w:val="0"/>
                <w:sz w:val="22"/>
                <w:szCs w:val="22"/>
              </w:rPr>
              <w:t>实际产出数：一定时期（本年度或项目期）内项目实际产出的产品或提供的服务数量。</w:t>
            </w:r>
          </w:p>
          <w:p>
            <w:pPr>
              <w:widowControl/>
              <w:spacing w:line="0" w:lineRule="atLeast"/>
              <w:rPr>
                <w:color w:val="000000"/>
                <w:kern w:val="0"/>
                <w:sz w:val="22"/>
                <w:szCs w:val="22"/>
              </w:rPr>
            </w:pPr>
            <w:r>
              <w:rPr>
                <w:color w:val="000000"/>
                <w:kern w:val="0"/>
                <w:sz w:val="22"/>
                <w:szCs w:val="22"/>
              </w:rPr>
              <w:t>计划产出数：项目绩效目标确定的在一定时期（本年度或项目期）内计划产出的产品或提供的服务数量。</w:t>
            </w:r>
          </w:p>
        </w:tc>
        <w:tc>
          <w:tcPr>
            <w:tcW w:w="2763" w:type="dxa"/>
            <w:shd w:val="clear" w:color="auto" w:fill="FFFFFF"/>
            <w:noWrap w:val="0"/>
            <w:vAlign w:val="center"/>
          </w:tcPr>
          <w:p>
            <w:pPr>
              <w:widowControl/>
              <w:spacing w:line="0" w:lineRule="atLeast"/>
              <w:jc w:val="both"/>
              <w:rPr>
                <w:rFonts w:hint="eastAsia"/>
                <w:color w:val="000000"/>
                <w:kern w:val="0"/>
                <w:sz w:val="22"/>
                <w:szCs w:val="22"/>
              </w:rPr>
            </w:pPr>
            <w:r>
              <w:rPr>
                <w:rFonts w:ascii="Times New Roman" w:hAnsi="Times New Roman"/>
                <w:color w:val="000000"/>
                <w:kern w:val="0"/>
                <w:sz w:val="22"/>
              </w:rPr>
              <w:t>实际</w:t>
            </w:r>
            <w:r>
              <w:rPr>
                <w:rFonts w:hint="eastAsia" w:ascii="Times New Roman" w:hAnsi="Times New Roman"/>
                <w:color w:val="000000"/>
                <w:kern w:val="0"/>
                <w:sz w:val="22"/>
                <w:lang w:eastAsia="zh-CN"/>
              </w:rPr>
              <w:t>完成</w:t>
            </w:r>
            <w:r>
              <w:rPr>
                <w:rFonts w:ascii="Times New Roman" w:hAnsi="Times New Roman"/>
                <w:color w:val="000000"/>
                <w:kern w:val="0"/>
                <w:sz w:val="22"/>
              </w:rPr>
              <w:t>率</w:t>
            </w:r>
            <w:r>
              <w:rPr>
                <w:rFonts w:hint="eastAsia" w:ascii="Times New Roman" w:hAnsi="Times New Roman"/>
                <w:color w:val="000000"/>
                <w:kern w:val="0"/>
                <w:sz w:val="22"/>
                <w:lang w:val="en-US" w:eastAsia="zh-CN"/>
              </w:rPr>
              <w:t>100%得8分，每减少5%扣1分，扣完为止</w:t>
            </w:r>
          </w:p>
        </w:tc>
        <w:tc>
          <w:tcPr>
            <w:tcW w:w="566" w:type="dxa"/>
            <w:shd w:val="clear" w:color="auto" w:fill="FFFFFF"/>
            <w:noWrap w:val="0"/>
            <w:vAlign w:val="center"/>
          </w:tcPr>
          <w:p>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35"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w:t>
            </w:r>
          </w:p>
        </w:tc>
        <w:tc>
          <w:tcPr>
            <w:tcW w:w="765"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产出质量</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质量达标率</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8</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31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2763" w:type="dxa"/>
            <w:shd w:val="clear" w:color="auto" w:fill="FFFFFF"/>
            <w:noWrap w:val="0"/>
            <w:vAlign w:val="center"/>
          </w:tcPr>
          <w:p>
            <w:pPr>
              <w:widowControl/>
              <w:spacing w:line="0" w:lineRule="atLeast"/>
              <w:jc w:val="center"/>
              <w:rPr>
                <w:rFonts w:hint="eastAsia"/>
                <w:color w:val="000000"/>
                <w:kern w:val="0"/>
                <w:sz w:val="22"/>
                <w:szCs w:val="22"/>
              </w:rPr>
            </w:pPr>
            <w:r>
              <w:rPr>
                <w:rFonts w:hint="eastAsia" w:ascii="Times New Roman" w:hAnsi="Times New Roman"/>
                <w:color w:val="000000"/>
                <w:kern w:val="0"/>
                <w:sz w:val="22"/>
                <w:lang w:eastAsia="zh-CN"/>
              </w:rPr>
              <w:t>质量达标率</w:t>
            </w:r>
            <w:r>
              <w:rPr>
                <w:rFonts w:hint="eastAsia" w:ascii="Times New Roman" w:hAnsi="Times New Roman"/>
                <w:color w:val="000000"/>
                <w:kern w:val="0"/>
                <w:sz w:val="22"/>
              </w:rPr>
              <w:t>100%计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w:t>
            </w:r>
            <w:r>
              <w:rPr>
                <w:rFonts w:hint="eastAsia" w:ascii="Times New Roman" w:hAnsi="Times New Roman"/>
                <w:color w:val="000000"/>
                <w:kern w:val="0"/>
                <w:sz w:val="22"/>
                <w:lang w:val="en-US" w:eastAsia="zh-CN"/>
              </w:rPr>
              <w:t>1</w:t>
            </w:r>
            <w:r>
              <w:rPr>
                <w:rFonts w:hint="eastAsia" w:ascii="Times New Roman" w:hAnsi="Times New Roman"/>
                <w:color w:val="000000"/>
                <w:kern w:val="0"/>
                <w:sz w:val="22"/>
              </w:rPr>
              <w:t>分，扣完为止</w:t>
            </w:r>
          </w:p>
        </w:tc>
        <w:tc>
          <w:tcPr>
            <w:tcW w:w="566" w:type="dxa"/>
            <w:shd w:val="clear" w:color="auto" w:fill="FFFFFF"/>
            <w:noWrap w:val="0"/>
            <w:vAlign w:val="center"/>
          </w:tcPr>
          <w:p>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35" w:type="dxa"/>
            <w:vMerge w:val="continue"/>
            <w:shd w:val="clear" w:color="auto" w:fill="FFFFFF"/>
            <w:noWrap w:val="0"/>
            <w:vAlign w:val="center"/>
          </w:tcPr>
          <w:p>
            <w:pPr>
              <w:spacing w:line="0" w:lineRule="atLeast"/>
              <w:jc w:val="center"/>
              <w:rPr>
                <w:color w:val="000000"/>
                <w:kern w:val="0"/>
                <w:sz w:val="22"/>
                <w:szCs w:val="22"/>
              </w:rPr>
            </w:pPr>
          </w:p>
        </w:tc>
        <w:tc>
          <w:tcPr>
            <w:tcW w:w="765" w:type="dxa"/>
            <w:shd w:val="clear" w:color="auto" w:fill="FFFFFF"/>
            <w:noWrap w:val="0"/>
            <w:vAlign w:val="center"/>
          </w:tcPr>
          <w:p>
            <w:pPr>
              <w:spacing w:line="0" w:lineRule="atLeast"/>
              <w:jc w:val="center"/>
              <w:rPr>
                <w:color w:val="000000"/>
                <w:kern w:val="0"/>
                <w:sz w:val="22"/>
                <w:szCs w:val="22"/>
              </w:rPr>
            </w:pPr>
            <w:r>
              <w:rPr>
                <w:color w:val="000000"/>
                <w:kern w:val="0"/>
                <w:sz w:val="22"/>
                <w:szCs w:val="22"/>
              </w:rPr>
              <w:t>产出时效</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完成及时性</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8</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310" w:type="dxa"/>
            <w:shd w:val="clear" w:color="auto" w:fill="FFFFFF"/>
            <w:noWrap w:val="0"/>
            <w:vAlign w:val="center"/>
          </w:tcPr>
          <w:p>
            <w:pPr>
              <w:widowControl/>
              <w:spacing w:line="0" w:lineRule="atLeast"/>
              <w:rPr>
                <w:rFonts w:hint="eastAsia" w:eastAsia="宋体"/>
                <w:color w:val="000000"/>
                <w:kern w:val="0"/>
                <w:sz w:val="22"/>
                <w:szCs w:val="22"/>
                <w:lang w:eastAsia="zh-CN"/>
              </w:rPr>
            </w:pPr>
            <w:r>
              <w:rPr>
                <w:color w:val="000000"/>
                <w:kern w:val="0"/>
                <w:sz w:val="22"/>
                <w:szCs w:val="22"/>
              </w:rPr>
              <w:t>实际完成时间：项目实施单位完成该项目实际所耗用的时间。</w:t>
            </w:r>
          </w:p>
          <w:p>
            <w:pPr>
              <w:widowControl/>
              <w:spacing w:line="0" w:lineRule="atLeast"/>
              <w:rPr>
                <w:color w:val="000000"/>
                <w:kern w:val="0"/>
                <w:sz w:val="22"/>
                <w:szCs w:val="22"/>
              </w:rPr>
            </w:pPr>
            <w:r>
              <w:rPr>
                <w:color w:val="000000"/>
                <w:kern w:val="0"/>
                <w:sz w:val="22"/>
                <w:szCs w:val="22"/>
              </w:rPr>
              <w:t>计划完成时间：按照项目实施计划或相关规定完成该项目所需的时间。</w:t>
            </w:r>
          </w:p>
        </w:tc>
        <w:tc>
          <w:tcPr>
            <w:tcW w:w="2763" w:type="dxa"/>
            <w:shd w:val="clear" w:color="auto" w:fill="FFFFFF"/>
            <w:noWrap w:val="0"/>
            <w:vAlign w:val="center"/>
          </w:tcPr>
          <w:p>
            <w:pPr>
              <w:widowControl/>
              <w:spacing w:line="0" w:lineRule="atLeast"/>
              <w:jc w:val="center"/>
              <w:rPr>
                <w:rFonts w:hint="eastAsia" w:eastAsia="宋体"/>
                <w:color w:val="000000"/>
                <w:kern w:val="0"/>
                <w:sz w:val="22"/>
                <w:szCs w:val="22"/>
                <w:lang w:val="en-US" w:eastAsia="zh-CN"/>
              </w:rPr>
            </w:pPr>
            <w:r>
              <w:rPr>
                <w:rFonts w:hint="eastAsia" w:ascii="Times New Roman" w:hAnsi="Times New Roman"/>
                <w:color w:val="000000"/>
                <w:kern w:val="0"/>
                <w:sz w:val="22"/>
                <w:lang w:eastAsia="zh-CN"/>
              </w:rPr>
              <w:t>实际完成时间在计划完成时间期限</w:t>
            </w:r>
            <w:r>
              <w:rPr>
                <w:rFonts w:hint="eastAsia" w:ascii="Times New Roman" w:hAnsi="Times New Roman"/>
                <w:color w:val="000000"/>
                <w:kern w:val="0"/>
                <w:sz w:val="22"/>
                <w:lang w:val="en-US" w:eastAsia="zh-CN"/>
              </w:rPr>
              <w:t>20日内</w:t>
            </w:r>
            <w:r>
              <w:rPr>
                <w:rFonts w:hint="eastAsia" w:ascii="Times New Roman" w:hAnsi="Times New Roman"/>
                <w:color w:val="000000"/>
                <w:kern w:val="0"/>
                <w:sz w:val="22"/>
              </w:rPr>
              <w:t>计</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w:t>
            </w:r>
            <w:r>
              <w:rPr>
                <w:rFonts w:hint="eastAsia" w:ascii="Times New Roman" w:hAnsi="Times New Roman"/>
                <w:color w:val="000000"/>
                <w:kern w:val="0"/>
                <w:sz w:val="22"/>
                <w:lang w:eastAsia="zh-CN"/>
              </w:rPr>
              <w:t>超过一天扣</w:t>
            </w:r>
            <w:r>
              <w:rPr>
                <w:rFonts w:hint="eastAsia" w:ascii="Times New Roman" w:hAnsi="Times New Roman"/>
                <w:color w:val="000000"/>
                <w:kern w:val="0"/>
                <w:sz w:val="22"/>
                <w:lang w:val="en-US" w:eastAsia="zh-CN"/>
              </w:rPr>
              <w:t>0.5</w:t>
            </w:r>
            <w:r>
              <w:rPr>
                <w:rFonts w:hint="eastAsia" w:ascii="Times New Roman" w:hAnsi="Times New Roman"/>
                <w:color w:val="000000"/>
                <w:kern w:val="0"/>
                <w:sz w:val="22"/>
                <w:lang w:eastAsia="zh-CN"/>
              </w:rPr>
              <w:t>分</w:t>
            </w:r>
          </w:p>
        </w:tc>
        <w:tc>
          <w:tcPr>
            <w:tcW w:w="566" w:type="dxa"/>
            <w:shd w:val="clear" w:color="auto" w:fill="FFFFFF"/>
            <w:noWrap w:val="0"/>
            <w:vAlign w:val="center"/>
          </w:tcPr>
          <w:p>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74" w:hRule="atLeast"/>
          <w:jc w:val="center"/>
        </w:trPr>
        <w:tc>
          <w:tcPr>
            <w:tcW w:w="735" w:type="dxa"/>
            <w:vMerge w:val="continue"/>
            <w:shd w:val="clear" w:color="auto" w:fill="FFFFFF"/>
            <w:noWrap w:val="0"/>
            <w:vAlign w:val="center"/>
          </w:tcPr>
          <w:p>
            <w:pPr>
              <w:widowControl/>
              <w:spacing w:line="0" w:lineRule="atLeast"/>
              <w:jc w:val="center"/>
              <w:rPr>
                <w:color w:val="000000"/>
                <w:kern w:val="0"/>
                <w:sz w:val="22"/>
                <w:szCs w:val="22"/>
              </w:rPr>
            </w:pPr>
          </w:p>
        </w:tc>
        <w:tc>
          <w:tcPr>
            <w:tcW w:w="765"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产出成本</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成本节约率</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8</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310" w:type="dxa"/>
            <w:shd w:val="clear" w:color="auto" w:fill="FFFFFF"/>
            <w:noWrap w:val="0"/>
            <w:vAlign w:val="center"/>
          </w:tcPr>
          <w:p>
            <w:pPr>
              <w:widowControl/>
              <w:spacing w:line="0" w:lineRule="atLeast"/>
              <w:rPr>
                <w:rFonts w:hint="eastAsia" w:eastAsia="宋体"/>
                <w:color w:val="000000"/>
                <w:kern w:val="0"/>
                <w:sz w:val="22"/>
                <w:szCs w:val="22"/>
                <w:lang w:eastAsia="zh-CN"/>
              </w:rPr>
            </w:pPr>
          </w:p>
          <w:p>
            <w:pPr>
              <w:widowControl/>
              <w:spacing w:line="0" w:lineRule="atLeast"/>
              <w:rPr>
                <w:rFonts w:hint="eastAsia" w:eastAsia="宋体"/>
                <w:color w:val="000000"/>
                <w:kern w:val="0"/>
                <w:sz w:val="22"/>
                <w:szCs w:val="22"/>
                <w:lang w:eastAsia="zh-CN"/>
              </w:rPr>
            </w:pPr>
            <w:r>
              <w:rPr>
                <w:color w:val="000000"/>
                <w:kern w:val="0"/>
                <w:sz w:val="22"/>
                <w:szCs w:val="22"/>
              </w:rPr>
              <w:t>成本节约率=[（计划成本-实际成本）/计划成本]×100%。</w:t>
            </w:r>
          </w:p>
          <w:p>
            <w:pPr>
              <w:widowControl/>
              <w:spacing w:line="0" w:lineRule="atLeast"/>
              <w:rPr>
                <w:rFonts w:hint="eastAsia" w:eastAsia="宋体"/>
                <w:color w:val="000000"/>
                <w:kern w:val="0"/>
                <w:sz w:val="22"/>
                <w:szCs w:val="22"/>
                <w:lang w:eastAsia="zh-CN"/>
              </w:rPr>
            </w:pPr>
            <w:r>
              <w:rPr>
                <w:color w:val="000000"/>
                <w:kern w:val="0"/>
                <w:sz w:val="22"/>
                <w:szCs w:val="22"/>
              </w:rPr>
              <w:t>实际成本：项目实施单位如期、保质、保量完成既定工作目标实际所耗费的支出。</w:t>
            </w:r>
          </w:p>
          <w:p>
            <w:pPr>
              <w:widowControl/>
              <w:spacing w:line="0" w:lineRule="atLeast"/>
              <w:rPr>
                <w:color w:val="000000"/>
                <w:kern w:val="0"/>
                <w:sz w:val="22"/>
                <w:szCs w:val="22"/>
              </w:rPr>
            </w:pPr>
            <w:r>
              <w:rPr>
                <w:color w:val="000000"/>
                <w:kern w:val="0"/>
                <w:sz w:val="22"/>
                <w:szCs w:val="22"/>
              </w:rPr>
              <w:t>计划成本：项目实施单位为完成工作目标计划安排的支出，一般以项目预算为参考。</w:t>
            </w:r>
          </w:p>
        </w:tc>
        <w:tc>
          <w:tcPr>
            <w:tcW w:w="2763" w:type="dxa"/>
            <w:shd w:val="clear" w:color="auto" w:fill="FFFFFF"/>
            <w:noWrap w:val="0"/>
            <w:vAlign w:val="center"/>
          </w:tcPr>
          <w:p>
            <w:pPr>
              <w:widowControl/>
              <w:spacing w:line="0" w:lineRule="atLeast"/>
              <w:jc w:val="center"/>
              <w:rPr>
                <w:rFonts w:hint="eastAsia"/>
                <w:color w:val="000000"/>
                <w:kern w:val="0"/>
                <w:sz w:val="22"/>
                <w:szCs w:val="22"/>
              </w:rPr>
            </w:pPr>
            <w:r>
              <w:rPr>
                <w:rFonts w:hint="eastAsia" w:ascii="Times New Roman" w:hAnsi="Times New Roman"/>
                <w:color w:val="000000"/>
                <w:kern w:val="0"/>
                <w:sz w:val="22"/>
              </w:rPr>
              <w:t>项目成本控制在总成本范围内，得</w:t>
            </w:r>
            <w:r>
              <w:rPr>
                <w:rFonts w:hint="eastAsia" w:ascii="Times New Roman" w:hAnsi="Times New Roman"/>
                <w:color w:val="000000"/>
                <w:kern w:val="0"/>
                <w:sz w:val="22"/>
                <w:lang w:val="en-US" w:eastAsia="zh-CN"/>
              </w:rPr>
              <w:t>8</w:t>
            </w:r>
            <w:r>
              <w:rPr>
                <w:rFonts w:hint="eastAsia" w:ascii="Times New Roman" w:hAnsi="Times New Roman"/>
                <w:color w:val="000000"/>
                <w:kern w:val="0"/>
                <w:sz w:val="22"/>
              </w:rPr>
              <w:t>分，每下降1%，扣0.5分，扣完为止。</w:t>
            </w:r>
          </w:p>
        </w:tc>
        <w:tc>
          <w:tcPr>
            <w:tcW w:w="566" w:type="dxa"/>
            <w:shd w:val="clear" w:color="auto" w:fill="FFFFFF"/>
            <w:noWrap w:val="0"/>
            <w:vAlign w:val="center"/>
          </w:tcPr>
          <w:p>
            <w:pPr>
              <w:widowControl/>
              <w:spacing w:line="0" w:lineRule="atLeast"/>
              <w:jc w:val="center"/>
              <w:rPr>
                <w:rFonts w:hint="eastAsia" w:eastAsia="宋体"/>
                <w:color w:val="000000"/>
                <w:kern w:val="0"/>
                <w:sz w:val="22"/>
                <w:szCs w:val="22"/>
                <w:lang w:val="en-US" w:eastAsia="zh-CN"/>
              </w:rPr>
            </w:pPr>
            <w:r>
              <w:rPr>
                <w:rFonts w:hint="eastAsia"/>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3" w:hRule="atLeast"/>
          <w:jc w:val="center"/>
        </w:trPr>
        <w:tc>
          <w:tcPr>
            <w:tcW w:w="735"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效益　</w:t>
            </w:r>
          </w:p>
        </w:tc>
        <w:tc>
          <w:tcPr>
            <w:tcW w:w="765" w:type="dxa"/>
            <w:vMerge w:val="restart"/>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项目效益　</w:t>
            </w: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实施效益</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20</w:t>
            </w:r>
          </w:p>
        </w:tc>
        <w:tc>
          <w:tcPr>
            <w:tcW w:w="2385" w:type="dxa"/>
            <w:shd w:val="clear" w:color="auto" w:fill="FFFFFF"/>
            <w:noWrap w:val="0"/>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31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2763" w:type="dxa"/>
            <w:shd w:val="clear" w:color="auto" w:fill="FFFFFF"/>
            <w:noWrap w:val="0"/>
            <w:vAlign w:val="center"/>
          </w:tcPr>
          <w:p>
            <w:pPr>
              <w:widowControl/>
              <w:spacing w:line="0" w:lineRule="atLeast"/>
              <w:jc w:val="center"/>
              <w:rPr>
                <w:rFonts w:hint="eastAsia"/>
                <w:color w:val="000000"/>
                <w:kern w:val="0"/>
                <w:sz w:val="22"/>
                <w:szCs w:val="22"/>
              </w:rPr>
            </w:pPr>
            <w:r>
              <w:rPr>
                <w:rFonts w:hint="eastAsia" w:ascii="Times New Roman" w:hAnsi="Times New Roman"/>
                <w:color w:val="000000"/>
                <w:kern w:val="0"/>
                <w:sz w:val="22"/>
              </w:rPr>
              <w:t>效益评价优</w:t>
            </w:r>
            <w:r>
              <w:rPr>
                <w:rFonts w:hint="eastAsia" w:ascii="Times New Roman" w:hAnsi="Times New Roman"/>
                <w:color w:val="000000"/>
                <w:kern w:val="0"/>
                <w:sz w:val="22"/>
                <w:lang w:val="en-US" w:eastAsia="zh-CN"/>
              </w:rPr>
              <w:t>20</w:t>
            </w:r>
            <w:r>
              <w:rPr>
                <w:rFonts w:hint="eastAsia" w:ascii="Times New Roman" w:hAnsi="Times New Roman"/>
                <w:color w:val="000000"/>
                <w:kern w:val="0"/>
                <w:sz w:val="22"/>
              </w:rPr>
              <w:t>分、良好</w:t>
            </w:r>
            <w:r>
              <w:rPr>
                <w:rFonts w:hint="eastAsia" w:ascii="Times New Roman" w:hAnsi="Times New Roman"/>
                <w:color w:val="000000"/>
                <w:kern w:val="0"/>
                <w:sz w:val="22"/>
                <w:lang w:val="en-US" w:eastAsia="zh-CN"/>
              </w:rPr>
              <w:t>16</w:t>
            </w:r>
            <w:r>
              <w:rPr>
                <w:rFonts w:hint="eastAsia" w:ascii="Times New Roman" w:hAnsi="Times New Roman"/>
                <w:color w:val="000000"/>
                <w:kern w:val="0"/>
                <w:sz w:val="22"/>
              </w:rPr>
              <w:t>分、及格</w:t>
            </w:r>
            <w:r>
              <w:rPr>
                <w:rFonts w:hint="eastAsia" w:ascii="Times New Roman" w:hAnsi="Times New Roman"/>
                <w:color w:val="000000"/>
                <w:kern w:val="0"/>
                <w:sz w:val="22"/>
                <w:lang w:val="en-US" w:eastAsia="zh-CN"/>
              </w:rPr>
              <w:t>12</w:t>
            </w:r>
            <w:r>
              <w:rPr>
                <w:rFonts w:hint="eastAsia" w:ascii="Times New Roman" w:hAnsi="Times New Roman"/>
                <w:color w:val="000000"/>
                <w:kern w:val="0"/>
                <w:sz w:val="22"/>
              </w:rPr>
              <w:t>分、不及格0分</w:t>
            </w:r>
          </w:p>
        </w:tc>
        <w:tc>
          <w:tcPr>
            <w:tcW w:w="566" w:type="dxa"/>
            <w:shd w:val="clear" w:color="auto" w:fill="FFFFFF"/>
            <w:noWrap w:val="0"/>
            <w:vAlign w:val="center"/>
          </w:tcPr>
          <w:p>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9" w:hRule="atLeast"/>
          <w:jc w:val="center"/>
        </w:trPr>
        <w:tc>
          <w:tcPr>
            <w:tcW w:w="735" w:type="dxa"/>
            <w:vMerge w:val="continue"/>
            <w:shd w:val="clear" w:color="auto" w:fill="FFFFFF"/>
            <w:noWrap w:val="0"/>
            <w:vAlign w:val="center"/>
          </w:tcPr>
          <w:p>
            <w:pPr>
              <w:widowControl/>
              <w:spacing w:line="0" w:lineRule="atLeast"/>
              <w:jc w:val="center"/>
              <w:rPr>
                <w:color w:val="000000"/>
                <w:kern w:val="0"/>
                <w:sz w:val="22"/>
                <w:szCs w:val="22"/>
              </w:rPr>
            </w:pPr>
          </w:p>
        </w:tc>
        <w:tc>
          <w:tcPr>
            <w:tcW w:w="765" w:type="dxa"/>
            <w:vMerge w:val="continue"/>
            <w:shd w:val="clear" w:color="auto" w:fill="FFFFFF"/>
            <w:noWrap w:val="0"/>
            <w:vAlign w:val="center"/>
          </w:tcPr>
          <w:p>
            <w:pPr>
              <w:widowControl/>
              <w:spacing w:line="0" w:lineRule="atLeast"/>
              <w:jc w:val="center"/>
              <w:rPr>
                <w:color w:val="000000"/>
                <w:kern w:val="0"/>
                <w:sz w:val="22"/>
                <w:szCs w:val="22"/>
              </w:rPr>
            </w:pPr>
          </w:p>
        </w:tc>
        <w:tc>
          <w:tcPr>
            <w:tcW w:w="78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满意度</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8</w:t>
            </w:r>
          </w:p>
        </w:tc>
        <w:tc>
          <w:tcPr>
            <w:tcW w:w="2385"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310" w:type="dxa"/>
            <w:shd w:val="clear" w:color="auto" w:fill="FFFFFF"/>
            <w:noWrap w:val="0"/>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2763" w:type="dxa"/>
            <w:shd w:val="clear" w:color="auto" w:fill="FFFFFF"/>
            <w:noWrap w:val="0"/>
            <w:vAlign w:val="center"/>
          </w:tcPr>
          <w:p>
            <w:pPr>
              <w:widowControl/>
              <w:spacing w:line="0" w:lineRule="atLeast"/>
              <w:jc w:val="center"/>
              <w:rPr>
                <w:rFonts w:hint="eastAsia"/>
                <w:color w:val="000000"/>
                <w:kern w:val="0"/>
                <w:sz w:val="22"/>
                <w:szCs w:val="22"/>
                <w:lang w:val="en-US" w:eastAsia="zh-CN"/>
              </w:rPr>
            </w:pPr>
            <w:r>
              <w:rPr>
                <w:rFonts w:hint="eastAsia" w:ascii="Times New Roman" w:hAnsi="Times New Roman"/>
                <w:color w:val="000000"/>
                <w:kern w:val="0"/>
                <w:sz w:val="22"/>
                <w:lang w:eastAsia="zh-CN"/>
              </w:rPr>
              <w:t>服务对象</w:t>
            </w:r>
            <w:r>
              <w:rPr>
                <w:rFonts w:ascii="Times New Roman" w:hAnsi="Times New Roman"/>
                <w:color w:val="000000"/>
                <w:kern w:val="0"/>
                <w:sz w:val="22"/>
              </w:rPr>
              <w:t>满意度</w:t>
            </w:r>
            <w:r>
              <w:rPr>
                <w:rFonts w:hint="eastAsia" w:ascii="Times New Roman" w:hAnsi="Times New Roman"/>
                <w:color w:val="000000"/>
                <w:kern w:val="0"/>
                <w:sz w:val="22"/>
                <w:lang w:val="en-US" w:eastAsia="zh-CN"/>
              </w:rPr>
              <w:t>100%得8分，每减少5%扣1分扣完为止</w:t>
            </w:r>
          </w:p>
        </w:tc>
        <w:tc>
          <w:tcPr>
            <w:tcW w:w="566" w:type="dxa"/>
            <w:shd w:val="clear" w:color="auto" w:fill="FFFFFF"/>
            <w:noWrap w:val="0"/>
            <w:vAlign w:val="center"/>
          </w:tcPr>
          <w:p>
            <w:pPr>
              <w:widowControl/>
              <w:spacing w:line="0" w:lineRule="atLeast"/>
              <w:jc w:val="center"/>
              <w:rPr>
                <w:rFonts w:hint="default" w:eastAsia="宋体"/>
                <w:color w:val="000000"/>
                <w:kern w:val="0"/>
                <w:sz w:val="22"/>
                <w:szCs w:val="22"/>
                <w:lang w:val="en-US" w:eastAsia="zh-CN"/>
              </w:rPr>
            </w:pPr>
            <w:r>
              <w:rPr>
                <w:rFonts w:hint="eastAsia" w:eastAsia="宋体"/>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8" w:hRule="atLeast"/>
          <w:jc w:val="center"/>
        </w:trPr>
        <w:tc>
          <w:tcPr>
            <w:tcW w:w="2280" w:type="dxa"/>
            <w:gridSpan w:val="3"/>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总分</w:t>
            </w:r>
          </w:p>
        </w:tc>
        <w:tc>
          <w:tcPr>
            <w:tcW w:w="630" w:type="dxa"/>
            <w:shd w:val="clear" w:color="auto" w:fill="FFFFFF"/>
            <w:noWrap w:val="0"/>
            <w:vAlign w:val="center"/>
          </w:tcPr>
          <w:p>
            <w:pPr>
              <w:widowControl/>
              <w:spacing w:line="0" w:lineRule="atLeast"/>
              <w:jc w:val="center"/>
              <w:rPr>
                <w:color w:val="000000"/>
                <w:kern w:val="0"/>
                <w:sz w:val="22"/>
                <w:szCs w:val="22"/>
              </w:rPr>
            </w:pPr>
            <w:r>
              <w:rPr>
                <w:color w:val="000000"/>
                <w:kern w:val="0"/>
                <w:sz w:val="22"/>
                <w:szCs w:val="22"/>
              </w:rPr>
              <w:t>100</w:t>
            </w:r>
          </w:p>
        </w:tc>
        <w:tc>
          <w:tcPr>
            <w:tcW w:w="2385" w:type="dxa"/>
            <w:shd w:val="clear" w:color="auto" w:fill="FFFFFF"/>
            <w:noWrap w:val="0"/>
            <w:vAlign w:val="center"/>
          </w:tcPr>
          <w:p>
            <w:pPr>
              <w:widowControl/>
              <w:spacing w:line="0" w:lineRule="atLeast"/>
              <w:rPr>
                <w:color w:val="000000"/>
                <w:kern w:val="0"/>
                <w:sz w:val="22"/>
                <w:szCs w:val="22"/>
              </w:rPr>
            </w:pPr>
          </w:p>
        </w:tc>
        <w:tc>
          <w:tcPr>
            <w:tcW w:w="5310" w:type="dxa"/>
            <w:shd w:val="clear" w:color="auto" w:fill="FFFFFF"/>
            <w:noWrap w:val="0"/>
            <w:vAlign w:val="center"/>
          </w:tcPr>
          <w:p>
            <w:pPr>
              <w:widowControl/>
              <w:spacing w:line="0" w:lineRule="atLeast"/>
              <w:rPr>
                <w:color w:val="000000"/>
                <w:kern w:val="0"/>
                <w:sz w:val="22"/>
                <w:szCs w:val="22"/>
              </w:rPr>
            </w:pPr>
          </w:p>
        </w:tc>
        <w:tc>
          <w:tcPr>
            <w:tcW w:w="2763" w:type="dxa"/>
            <w:shd w:val="clear" w:color="auto" w:fill="FFFFFF"/>
            <w:noWrap w:val="0"/>
            <w:vAlign w:val="center"/>
          </w:tcPr>
          <w:p>
            <w:pPr>
              <w:widowControl/>
              <w:spacing w:line="0" w:lineRule="atLeast"/>
              <w:jc w:val="center"/>
              <w:rPr>
                <w:rFonts w:hint="eastAsia"/>
                <w:color w:val="000000"/>
                <w:kern w:val="0"/>
                <w:sz w:val="22"/>
                <w:szCs w:val="22"/>
              </w:rPr>
            </w:pPr>
          </w:p>
        </w:tc>
        <w:tc>
          <w:tcPr>
            <w:tcW w:w="566" w:type="dxa"/>
            <w:shd w:val="clear" w:color="auto" w:fill="FFFFFF"/>
            <w:noWrap w:val="0"/>
            <w:vAlign w:val="center"/>
          </w:tcPr>
          <w:p>
            <w:pPr>
              <w:widowControl/>
              <w:spacing w:line="0" w:lineRule="atLeast"/>
              <w:jc w:val="center"/>
              <w:rPr>
                <w:rFonts w:hint="default" w:eastAsia="宋体"/>
                <w:color w:val="000000"/>
                <w:kern w:val="0"/>
                <w:sz w:val="22"/>
                <w:szCs w:val="22"/>
                <w:lang w:val="en-US" w:eastAsia="zh-CN"/>
              </w:rPr>
            </w:pPr>
            <w:r>
              <w:rPr>
                <w:rFonts w:hint="eastAsia" w:eastAsia="宋体"/>
                <w:color w:val="000000" w:themeColor="text1"/>
                <w:kern w:val="0"/>
                <w:sz w:val="22"/>
                <w:szCs w:val="22"/>
                <w:lang w:val="en-US" w:eastAsia="zh-CN"/>
                <w14:textFill>
                  <w14:solidFill>
                    <w14:schemeClr w14:val="tx1"/>
                  </w14:solidFill>
                </w14:textFill>
              </w:rPr>
              <w:t>96</w:t>
            </w:r>
          </w:p>
        </w:tc>
      </w:tr>
    </w:tbl>
    <w:p>
      <w:pPr>
        <w:spacing w:after="0"/>
        <w:textAlignment w:val="center"/>
        <w:rPr>
          <w:rFonts w:hint="eastAsia" w:ascii="黑体" w:hAnsi="黑体" w:eastAsia="黑体" w:cs="黑体"/>
          <w:color w:val="000000"/>
          <w:sz w:val="28"/>
          <w:szCs w:val="28"/>
        </w:rPr>
      </w:pPr>
    </w:p>
    <w:p>
      <w:pPr>
        <w:spacing w:after="0"/>
        <w:textAlignment w:val="center"/>
        <w:rPr>
          <w:rFonts w:hint="eastAsia" w:ascii="黑体" w:hAnsi="黑体" w:eastAsia="黑体" w:cs="黑体"/>
          <w:color w:val="000000"/>
          <w:sz w:val="28"/>
          <w:szCs w:val="28"/>
        </w:rPr>
      </w:pPr>
    </w:p>
    <w:p>
      <w:pPr>
        <w:spacing w:after="0"/>
        <w:textAlignment w:val="center"/>
        <w:rPr>
          <w:rFonts w:hint="eastAsia" w:ascii="黑体" w:hAnsi="黑体" w:eastAsia="黑体" w:cs="黑体"/>
          <w:color w:val="000000"/>
          <w:sz w:val="28"/>
          <w:szCs w:val="28"/>
        </w:rPr>
      </w:pPr>
    </w:p>
    <w:p>
      <w:pPr>
        <w:spacing w:after="0"/>
        <w:textAlignment w:val="center"/>
        <w:rPr>
          <w:rFonts w:hint="eastAsia" w:ascii="黑体" w:hAnsi="黑体" w:eastAsia="黑体" w:cs="黑体"/>
          <w:color w:val="000000"/>
          <w:sz w:val="28"/>
          <w:szCs w:val="28"/>
        </w:rPr>
      </w:pPr>
    </w:p>
    <w:p>
      <w:pPr>
        <w:spacing w:after="0"/>
        <w:textAlignment w:val="center"/>
        <w:rPr>
          <w:rFonts w:ascii="宋体" w:hAnsi="宋体" w:eastAsia="宋体" w:cs="宋体"/>
          <w:color w:val="000000"/>
          <w:sz w:val="24"/>
          <w:szCs w:val="24"/>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Unicode MS">
    <w:altName w:val="Arial"/>
    <w:panose1 w:val="00000000000000000000"/>
    <w:charset w:val="00"/>
    <w:family w:val="auto"/>
    <w:pitch w:val="default"/>
    <w:sig w:usb0="00000000" w:usb1="00000000" w:usb2="00000000" w:usb3="00000000" w:csb0="00000000" w:csb1="00000000"/>
  </w:font>
  <w:font w:name="Wingdings 2">
    <w:altName w:val="Wingdings"/>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LK+nM7gAQAAwQMAAA4AAAAA&#10;AAAAAQAgAAAAHgEAAGRycy9lMm9Eb2MueG1sUEsFBgAAAAAGAAYAWQEAAHAFA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577026"/>
    <w:multiLevelType w:val="singleLevel"/>
    <w:tmpl w:val="9C577026"/>
    <w:lvl w:ilvl="0" w:tentative="0">
      <w:start w:val="2"/>
      <w:numFmt w:val="chineseCounting"/>
      <w:suff w:val="nothing"/>
      <w:lvlText w:val="（%1）"/>
      <w:lvlJc w:val="left"/>
      <w:pPr>
        <w:ind w:left="-200"/>
      </w:pPr>
      <w:rPr>
        <w:rFonts w:hint="eastAsia"/>
      </w:rPr>
    </w:lvl>
  </w:abstractNum>
  <w:abstractNum w:abstractNumId="1">
    <w:nsid w:val="C8A84FC3"/>
    <w:multiLevelType w:val="singleLevel"/>
    <w:tmpl w:val="C8A84FC3"/>
    <w:lvl w:ilvl="0" w:tentative="0">
      <w:start w:val="2"/>
      <w:numFmt w:val="decimal"/>
      <w:lvlText w:val="%1."/>
      <w:lvlJc w:val="left"/>
      <w:pPr>
        <w:tabs>
          <w:tab w:val="left" w:pos="312"/>
        </w:tabs>
      </w:pPr>
    </w:lvl>
  </w:abstractNum>
  <w:abstractNum w:abstractNumId="2">
    <w:nsid w:val="CB1370B0"/>
    <w:multiLevelType w:val="singleLevel"/>
    <w:tmpl w:val="CB1370B0"/>
    <w:lvl w:ilvl="0" w:tentative="0">
      <w:start w:val="1"/>
      <w:numFmt w:val="chineseCounting"/>
      <w:suff w:val="nothing"/>
      <w:lvlText w:val="（%1）"/>
      <w:lvlJc w:val="left"/>
      <w:rPr>
        <w:rFonts w:hint="eastAsia"/>
      </w:rPr>
    </w:lvl>
  </w:abstractNum>
  <w:abstractNum w:abstractNumId="3">
    <w:nsid w:val="72ACD3C3"/>
    <w:multiLevelType w:val="singleLevel"/>
    <w:tmpl w:val="72ACD3C3"/>
    <w:lvl w:ilvl="0" w:tentative="0">
      <w:start w:val="3"/>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NotDisplayPageBoundaries w:val="1"/>
  <w:bordersDoNotSurroundHeader w:val="0"/>
  <w:bordersDoNotSurroundFooter w:val="0"/>
  <w:documentProtection w:enforcement="0"/>
  <w:defaultTabStop w:val="720"/>
  <w:displayHorizontalDrawingGridEvery w:val="1"/>
  <w:displayVerticalDrawingGridEvery w:val="1"/>
  <w:noPunctuationKerning w:val="1"/>
  <w:characterSpacingControl w:val="doNotCompress"/>
  <w:hdrShapeDefaults>
    <o:shapelayout v:ext="edit">
      <o:idmap v:ext="edit" data="3,4"/>
    </o:shapelayout>
  </w:hdrShapeDefaults>
  <w:footnotePr>
    <w:footnote w:id="0"/>
    <w:footnote w:id="1"/>
  </w:foot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NTYzMmRhMzQ1NTQ4ZDY5NGQ5ODM0NmFhODQxNjIifQ=="/>
  </w:docVars>
  <w:rsids>
    <w:rsidRoot w:val="00D31D50"/>
    <w:rsid w:val="00091BC8"/>
    <w:rsid w:val="001500F1"/>
    <w:rsid w:val="00163425"/>
    <w:rsid w:val="001A6DB8"/>
    <w:rsid w:val="00323B43"/>
    <w:rsid w:val="00360D9A"/>
    <w:rsid w:val="003D37D8"/>
    <w:rsid w:val="00426133"/>
    <w:rsid w:val="004358AB"/>
    <w:rsid w:val="005C7BA2"/>
    <w:rsid w:val="005D58DE"/>
    <w:rsid w:val="007C77F7"/>
    <w:rsid w:val="008B7726"/>
    <w:rsid w:val="00AF0306"/>
    <w:rsid w:val="00BB7A29"/>
    <w:rsid w:val="00C55800"/>
    <w:rsid w:val="00C635E3"/>
    <w:rsid w:val="00D31D50"/>
    <w:rsid w:val="00E85223"/>
    <w:rsid w:val="01CF712B"/>
    <w:rsid w:val="02EE3660"/>
    <w:rsid w:val="03E2409E"/>
    <w:rsid w:val="04EA6A64"/>
    <w:rsid w:val="06922C86"/>
    <w:rsid w:val="10DF0599"/>
    <w:rsid w:val="12AB4827"/>
    <w:rsid w:val="12E71B09"/>
    <w:rsid w:val="12E83BC5"/>
    <w:rsid w:val="13303E83"/>
    <w:rsid w:val="13DA09E1"/>
    <w:rsid w:val="17006A33"/>
    <w:rsid w:val="19E41BC5"/>
    <w:rsid w:val="1DE8646F"/>
    <w:rsid w:val="1EDC5E47"/>
    <w:rsid w:val="245945F5"/>
    <w:rsid w:val="25DC5E46"/>
    <w:rsid w:val="26C422AA"/>
    <w:rsid w:val="2A6E1037"/>
    <w:rsid w:val="2B701A49"/>
    <w:rsid w:val="2C8903AA"/>
    <w:rsid w:val="2CE5674F"/>
    <w:rsid w:val="2EEE2BF6"/>
    <w:rsid w:val="2F793A1F"/>
    <w:rsid w:val="304B7509"/>
    <w:rsid w:val="310316CF"/>
    <w:rsid w:val="310B19E4"/>
    <w:rsid w:val="33DE18B2"/>
    <w:rsid w:val="34CD18B6"/>
    <w:rsid w:val="399F3BAB"/>
    <w:rsid w:val="3A134870"/>
    <w:rsid w:val="3BB853F1"/>
    <w:rsid w:val="3ED876B3"/>
    <w:rsid w:val="3F8575A6"/>
    <w:rsid w:val="414C4C6E"/>
    <w:rsid w:val="41750750"/>
    <w:rsid w:val="41E72566"/>
    <w:rsid w:val="42201F4B"/>
    <w:rsid w:val="434237FB"/>
    <w:rsid w:val="44507CD3"/>
    <w:rsid w:val="468B157C"/>
    <w:rsid w:val="46916165"/>
    <w:rsid w:val="473A2575"/>
    <w:rsid w:val="510161A8"/>
    <w:rsid w:val="51713C0E"/>
    <w:rsid w:val="53CB7D15"/>
    <w:rsid w:val="55397EB4"/>
    <w:rsid w:val="569A3DE8"/>
    <w:rsid w:val="57D6216F"/>
    <w:rsid w:val="581D540F"/>
    <w:rsid w:val="58A9194F"/>
    <w:rsid w:val="5ADF7076"/>
    <w:rsid w:val="5B0A34C5"/>
    <w:rsid w:val="5D494145"/>
    <w:rsid w:val="5E2440E9"/>
    <w:rsid w:val="5EBB2DEA"/>
    <w:rsid w:val="5FCC37C3"/>
    <w:rsid w:val="60077599"/>
    <w:rsid w:val="61524309"/>
    <w:rsid w:val="61D57E6A"/>
    <w:rsid w:val="62293F08"/>
    <w:rsid w:val="62ED4F72"/>
    <w:rsid w:val="6386514C"/>
    <w:rsid w:val="638F5A2C"/>
    <w:rsid w:val="652D3A61"/>
    <w:rsid w:val="660B715E"/>
    <w:rsid w:val="6AA40446"/>
    <w:rsid w:val="6AD91941"/>
    <w:rsid w:val="6B427B3E"/>
    <w:rsid w:val="6E931E22"/>
    <w:rsid w:val="6ED31611"/>
    <w:rsid w:val="6FF62842"/>
    <w:rsid w:val="7003534A"/>
    <w:rsid w:val="702E7C3E"/>
    <w:rsid w:val="712679C7"/>
    <w:rsid w:val="72585CC5"/>
    <w:rsid w:val="73966E5B"/>
    <w:rsid w:val="762335DC"/>
    <w:rsid w:val="78F662D3"/>
    <w:rsid w:val="7CCB02AA"/>
    <w:rsid w:val="7D7267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unhideWhenUsed/>
    <w:qFormat/>
    <w:uiPriority w:val="0"/>
    <w:pPr>
      <w:spacing w:before="0" w:beforeAutospacing="0" w:after="120" w:afterAutospacing="0" w:line="240" w:lineRule="auto"/>
      <w:ind w:left="420" w:leftChars="200" w:firstLine="0" w:firstLineChars="0"/>
    </w:pPr>
    <w:rPr>
      <w:sz w:val="21"/>
    </w:rPr>
  </w:style>
  <w:style w:type="paragraph" w:styleId="4">
    <w:name w:val="footer"/>
    <w:basedOn w:val="1"/>
    <w:link w:val="11"/>
    <w:semiHidden/>
    <w:unhideWhenUsed/>
    <w:qFormat/>
    <w:uiPriority w:val="99"/>
    <w:pPr>
      <w:tabs>
        <w:tab w:val="center" w:pos="4153"/>
        <w:tab w:val="right" w:pos="8306"/>
      </w:tabs>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Body Text First Indent 2"/>
    <w:basedOn w:val="3"/>
    <w:qFormat/>
    <w:uiPriority w:val="0"/>
    <w:pPr>
      <w:autoSpaceDE w:val="0"/>
      <w:autoSpaceDN w:val="0"/>
      <w:adjustRightInd w:val="0"/>
      <w:spacing w:after="0"/>
      <w:ind w:firstLine="420"/>
      <w:jc w:val="left"/>
    </w:pPr>
    <w:rPr>
      <w:rFonts w:ascii="Calibri" w:hAnsi="Calibri"/>
    </w:rPr>
  </w:style>
  <w:style w:type="character" w:styleId="9">
    <w:name w:val="Hyperlink"/>
    <w:basedOn w:val="8"/>
    <w:semiHidden/>
    <w:unhideWhenUsed/>
    <w:qFormat/>
    <w:uiPriority w:val="99"/>
    <w:rPr>
      <w:color w:val="333333"/>
      <w:u w:val="none"/>
    </w:rPr>
  </w:style>
  <w:style w:type="character" w:customStyle="1" w:styleId="10">
    <w:name w:val="页眉 Char"/>
    <w:basedOn w:val="8"/>
    <w:link w:val="5"/>
    <w:semiHidden/>
    <w:qFormat/>
    <w:uiPriority w:val="99"/>
    <w:rPr>
      <w:rFonts w:ascii="Tahoma" w:hAnsi="Tahoma"/>
      <w:sz w:val="18"/>
      <w:szCs w:val="18"/>
    </w:rPr>
  </w:style>
  <w:style w:type="character" w:customStyle="1" w:styleId="11">
    <w:name w:val="页脚 Char"/>
    <w:basedOn w:val="8"/>
    <w:link w:val="4"/>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7101</Words>
  <Characters>7409</Characters>
  <Lines>46</Lines>
  <Paragraphs>12</Paragraphs>
  <TotalTime>5</TotalTime>
  <ScaleCrop>false</ScaleCrop>
  <LinksUpToDate>false</LinksUpToDate>
  <CharactersWithSpaces>7577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忘忧草</cp:lastModifiedBy>
  <cp:lastPrinted>2023-07-18T00:39:00Z</cp:lastPrinted>
  <dcterms:modified xsi:type="dcterms:W3CDTF">2023-07-24T02:10:42Z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FF074E9A93664E3F94E4EB93BAF7B832_13</vt:lpwstr>
  </property>
</Properties>
</file>